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0" w:name="arriba"/>
      <w:bookmarkEnd w:id="0"/>
      <w:r w:rsidRPr="001B7F27">
        <w:rPr>
          <w:rFonts w:ascii="Arial" w:eastAsia="Times New Roman" w:hAnsi="Arial" w:cs="Arial"/>
          <w:b/>
          <w:bCs/>
          <w:i/>
          <w:iCs/>
          <w:color w:val="009933"/>
          <w:sz w:val="24"/>
          <w:szCs w:val="24"/>
          <w:u w:val="single"/>
          <w:lang w:eastAsia="es-AR"/>
        </w:rPr>
        <w:t>Temas: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hyperlink r:id="rId5" w:anchor="1" w:history="1">
        <w:r w:rsidRPr="001B7F27">
          <w:rPr>
            <w:rFonts w:ascii="Arial" w:eastAsia="Times New Roman" w:hAnsi="Arial" w:cs="Arial"/>
            <w:color w:val="003399"/>
            <w:sz w:val="20"/>
            <w:szCs w:val="20"/>
            <w:lang w:eastAsia="es-AR"/>
          </w:rPr>
          <w:t>" El Análisis de las Metáforas, Ética y Religión en Ludwig Wittgenstein"</w:t>
        </w:r>
      </w:hyperlink>
      <w:r w:rsidRPr="001B7F27">
        <w:rPr>
          <w:rFonts w:ascii="Arial" w:eastAsia="Times New Roman" w:hAnsi="Arial" w:cs="Arial"/>
          <w:color w:val="003399"/>
          <w:sz w:val="17"/>
          <w:szCs w:val="17"/>
          <w:lang w:eastAsia="es-AR"/>
        </w:rPr>
        <w:br/>
        <w:t>Fernando Tellechea Yampey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6" w:anchor="2" w:history="1">
        <w:r w:rsidRPr="001B7F27">
          <w:rPr>
            <w:rFonts w:ascii="Arial" w:eastAsia="Times New Roman" w:hAnsi="Arial" w:cs="Arial"/>
            <w:color w:val="003399"/>
            <w:sz w:val="20"/>
            <w:szCs w:val="20"/>
            <w:lang w:eastAsia="es-AR"/>
          </w:rPr>
          <w:t>" La Propiedad Privada"</w:t>
        </w:r>
      </w:hyperlink>
      <w:r w:rsidRPr="001B7F27">
        <w:rPr>
          <w:rFonts w:ascii="Arial" w:eastAsia="Times New Roman" w:hAnsi="Arial" w:cs="Arial"/>
          <w:color w:val="003399"/>
          <w:sz w:val="17"/>
          <w:szCs w:val="17"/>
          <w:lang w:eastAsia="es-AR"/>
        </w:rPr>
        <w:br/>
        <w:t>Juan Farina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7" w:anchor="3" w:history="1">
        <w:r w:rsidRPr="001B7F27">
          <w:rPr>
            <w:rFonts w:ascii="Arial" w:eastAsia="Times New Roman" w:hAnsi="Arial" w:cs="Arial"/>
            <w:color w:val="003399"/>
            <w:sz w:val="20"/>
            <w:szCs w:val="20"/>
            <w:lang w:eastAsia="es-AR"/>
          </w:rPr>
          <w:t>" ¿Qué es Law &amp; Economics ...y a quién le importa?"</w:t>
        </w:r>
      </w:hyperlink>
      <w:r w:rsidRPr="001B7F27">
        <w:rPr>
          <w:rFonts w:ascii="Arial" w:eastAsia="Times New Roman" w:hAnsi="Arial" w:cs="Arial"/>
          <w:color w:val="003399"/>
          <w:sz w:val="17"/>
          <w:szCs w:val="17"/>
          <w:lang w:eastAsia="es-AR"/>
        </w:rPr>
        <w:br/>
        <w:t>Roberto Moreno Rodríguez-Alcalá</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8" w:anchor="4" w:history="1">
        <w:r w:rsidRPr="001B7F27">
          <w:rPr>
            <w:rFonts w:ascii="Arial" w:eastAsia="Times New Roman" w:hAnsi="Arial" w:cs="Arial"/>
            <w:color w:val="003399"/>
            <w:sz w:val="20"/>
            <w:szCs w:val="20"/>
            <w:lang w:eastAsia="es-AR"/>
          </w:rPr>
          <w:t>"Contrato de Trabajo a tiempo parcial"</w:t>
        </w:r>
      </w:hyperlink>
      <w:r w:rsidRPr="001B7F27">
        <w:rPr>
          <w:rFonts w:ascii="Arial" w:eastAsia="Times New Roman" w:hAnsi="Arial" w:cs="Arial"/>
          <w:color w:val="003399"/>
          <w:sz w:val="17"/>
          <w:szCs w:val="17"/>
          <w:lang w:eastAsia="es-AR"/>
        </w:rPr>
        <w:br/>
        <w:t>María Francisca Prette de Villanueva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9" w:anchor="5" w:history="1">
        <w:r w:rsidRPr="001B7F27">
          <w:rPr>
            <w:rFonts w:ascii="Arial" w:eastAsia="Times New Roman" w:hAnsi="Arial" w:cs="Arial"/>
            <w:color w:val="003399"/>
            <w:sz w:val="20"/>
            <w:szCs w:val="20"/>
            <w:lang w:eastAsia="es-AR"/>
          </w:rPr>
          <w:t>"Contratos de Viaje y Turismo"</w:t>
        </w:r>
      </w:hyperlink>
      <w:r w:rsidRPr="001B7F27">
        <w:rPr>
          <w:rFonts w:ascii="Arial" w:eastAsia="Times New Roman" w:hAnsi="Arial" w:cs="Arial"/>
          <w:color w:val="003399"/>
          <w:sz w:val="17"/>
          <w:szCs w:val="17"/>
          <w:lang w:eastAsia="es-AR"/>
        </w:rPr>
        <w:br/>
        <w:t>Valentina Núñez González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0" w:anchor="6" w:history="1">
        <w:r w:rsidRPr="001B7F27">
          <w:rPr>
            <w:rFonts w:ascii="Arial" w:eastAsia="Times New Roman" w:hAnsi="Arial" w:cs="Arial"/>
            <w:color w:val="003399"/>
            <w:sz w:val="20"/>
            <w:szCs w:val="20"/>
            <w:lang w:eastAsia="es-AR"/>
          </w:rPr>
          <w:t>"Contratos por Adhesión"</w:t>
        </w:r>
      </w:hyperlink>
      <w:r w:rsidRPr="001B7F27">
        <w:rPr>
          <w:rFonts w:ascii="Arial" w:eastAsia="Times New Roman" w:hAnsi="Arial" w:cs="Arial"/>
          <w:color w:val="003399"/>
          <w:sz w:val="17"/>
          <w:szCs w:val="17"/>
          <w:lang w:eastAsia="es-AR"/>
        </w:rPr>
        <w:br/>
        <w:t>Carlos L. Palumbo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1" w:anchor="7" w:history="1">
        <w:r w:rsidRPr="001B7F27">
          <w:rPr>
            <w:rFonts w:ascii="Arial" w:eastAsia="Times New Roman" w:hAnsi="Arial" w:cs="Arial"/>
            <w:color w:val="003399"/>
            <w:sz w:val="20"/>
            <w:szCs w:val="20"/>
            <w:lang w:eastAsia="es-AR"/>
          </w:rPr>
          <w:t>"Corte Penal Internacional"</w:t>
        </w:r>
      </w:hyperlink>
      <w:r w:rsidRPr="001B7F27">
        <w:rPr>
          <w:rFonts w:ascii="Arial" w:eastAsia="Times New Roman" w:hAnsi="Arial" w:cs="Arial"/>
          <w:color w:val="003399"/>
          <w:sz w:val="17"/>
          <w:szCs w:val="17"/>
          <w:lang w:eastAsia="es-AR"/>
        </w:rPr>
        <w:br/>
        <w:t>Giuseppe Fossati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2" w:anchor="8" w:history="1">
        <w:r w:rsidRPr="001B7F27">
          <w:rPr>
            <w:rFonts w:ascii="Arial" w:eastAsia="Times New Roman" w:hAnsi="Arial" w:cs="Arial"/>
            <w:color w:val="003399"/>
            <w:sz w:val="20"/>
            <w:szCs w:val="20"/>
            <w:lang w:eastAsia="es-AR"/>
          </w:rPr>
          <w:t>"Crítica Jurídica a la Ley 1.626/00 'De la Función Pública'"</w:t>
        </w:r>
      </w:hyperlink>
      <w:r w:rsidRPr="001B7F27">
        <w:rPr>
          <w:rFonts w:ascii="Arial" w:eastAsia="Times New Roman" w:hAnsi="Arial" w:cs="Arial"/>
          <w:color w:val="003399"/>
          <w:sz w:val="17"/>
          <w:szCs w:val="17"/>
          <w:lang w:eastAsia="es-AR"/>
        </w:rPr>
        <w:br/>
        <w:t>Jorge Barboza Franco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3" w:anchor="9" w:history="1">
        <w:r w:rsidRPr="001B7F27">
          <w:rPr>
            <w:rFonts w:ascii="Arial" w:eastAsia="Times New Roman" w:hAnsi="Arial" w:cs="Arial"/>
            <w:color w:val="003399"/>
            <w:sz w:val="20"/>
            <w:szCs w:val="20"/>
            <w:lang w:eastAsia="es-AR"/>
          </w:rPr>
          <w:t>"Cuestión de Competencia de los Juzgados de la Niñez y Adolescencia"</w:t>
        </w:r>
      </w:hyperlink>
      <w:r w:rsidRPr="001B7F27">
        <w:rPr>
          <w:rFonts w:ascii="Arial" w:eastAsia="Times New Roman" w:hAnsi="Arial" w:cs="Arial"/>
          <w:color w:val="003399"/>
          <w:sz w:val="17"/>
          <w:szCs w:val="17"/>
          <w:lang w:eastAsia="es-AR"/>
        </w:rPr>
        <w:br/>
        <w:t>Raúl Fernando Barriocanal Feltes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4" w:anchor="10" w:history="1">
        <w:r w:rsidRPr="001B7F27">
          <w:rPr>
            <w:rFonts w:ascii="Arial" w:eastAsia="Times New Roman" w:hAnsi="Arial" w:cs="Arial"/>
            <w:color w:val="003399"/>
            <w:sz w:val="20"/>
            <w:szCs w:val="20"/>
            <w:lang w:eastAsia="es-AR"/>
          </w:rPr>
          <w:t>"Daños al Usuario del Transporte Aéreo"</w:t>
        </w:r>
      </w:hyperlink>
      <w:r w:rsidRPr="001B7F27">
        <w:rPr>
          <w:rFonts w:ascii="Arial" w:eastAsia="Times New Roman" w:hAnsi="Arial" w:cs="Arial"/>
          <w:color w:val="003399"/>
          <w:sz w:val="17"/>
          <w:szCs w:val="17"/>
          <w:lang w:eastAsia="es-AR"/>
        </w:rPr>
        <w:br/>
        <w:t>Minerva Izquierdo Centurión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5" w:anchor="11" w:history="1">
        <w:r w:rsidRPr="001B7F27">
          <w:rPr>
            <w:rFonts w:ascii="Arial" w:eastAsia="Times New Roman" w:hAnsi="Arial" w:cs="Arial"/>
            <w:color w:val="003399"/>
            <w:sz w:val="20"/>
            <w:szCs w:val="20"/>
            <w:lang w:eastAsia="es-AR"/>
          </w:rPr>
          <w:t>"Eficacia Jurídica de la Declaración Sociolabora del MERCOSUR en Paraguay"</w:t>
        </w:r>
      </w:hyperlink>
      <w:r w:rsidRPr="001B7F27">
        <w:rPr>
          <w:rFonts w:ascii="Arial" w:eastAsia="Times New Roman" w:hAnsi="Arial" w:cs="Arial"/>
          <w:color w:val="003399"/>
          <w:sz w:val="17"/>
          <w:szCs w:val="17"/>
          <w:lang w:eastAsia="es-AR"/>
        </w:rPr>
        <w:br/>
        <w:t>Ramiro Barboza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6" w:anchor="12" w:history="1">
        <w:r w:rsidRPr="001B7F27">
          <w:rPr>
            <w:rFonts w:ascii="Arial" w:eastAsia="Times New Roman" w:hAnsi="Arial" w:cs="Arial"/>
            <w:color w:val="003399"/>
            <w:sz w:val="20"/>
            <w:szCs w:val="20"/>
            <w:lang w:eastAsia="es-AR"/>
          </w:rPr>
          <w:t>"El Conocimiento Sensible frente al Derecho"</w:t>
        </w:r>
      </w:hyperlink>
      <w:r w:rsidRPr="001B7F27">
        <w:rPr>
          <w:rFonts w:ascii="Arial" w:eastAsia="Times New Roman" w:hAnsi="Arial" w:cs="Arial"/>
          <w:color w:val="003399"/>
          <w:sz w:val="17"/>
          <w:szCs w:val="17"/>
          <w:lang w:eastAsia="es-AR"/>
        </w:rPr>
        <w:br/>
        <w:t>Jorge Scala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7" w:anchor="13" w:history="1">
        <w:r w:rsidRPr="001B7F27">
          <w:rPr>
            <w:rFonts w:ascii="Arial" w:eastAsia="Times New Roman" w:hAnsi="Arial" w:cs="Arial"/>
            <w:color w:val="003399"/>
            <w:sz w:val="20"/>
            <w:szCs w:val="20"/>
            <w:lang w:eastAsia="es-AR"/>
          </w:rPr>
          <w:t>"El Derecho de Asilo: “El Caso Haya de la Torre”"</w:t>
        </w:r>
      </w:hyperlink>
      <w:r w:rsidRPr="001B7F27">
        <w:rPr>
          <w:rFonts w:ascii="Arial" w:eastAsia="Times New Roman" w:hAnsi="Arial" w:cs="Arial"/>
          <w:color w:val="003399"/>
          <w:sz w:val="17"/>
          <w:szCs w:val="17"/>
          <w:lang w:eastAsia="es-AR"/>
        </w:rPr>
        <w:br/>
        <w:t>Atilio Fernández Celauro - Omar Araya Yampey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8" w:anchor="14" w:history="1">
        <w:r w:rsidRPr="001B7F27">
          <w:rPr>
            <w:rFonts w:ascii="Arial" w:eastAsia="Times New Roman" w:hAnsi="Arial" w:cs="Arial"/>
            <w:color w:val="003399"/>
            <w:sz w:val="20"/>
            <w:szCs w:val="20"/>
            <w:lang w:eastAsia="es-AR"/>
          </w:rPr>
          <w:t>"El Derecho de Propiedad y Dominio. Su carácter Social "</w:t>
        </w:r>
      </w:hyperlink>
      <w:r w:rsidRPr="001B7F27">
        <w:rPr>
          <w:rFonts w:ascii="Arial" w:eastAsia="Times New Roman" w:hAnsi="Arial" w:cs="Arial"/>
          <w:color w:val="003399"/>
          <w:sz w:val="17"/>
          <w:szCs w:val="17"/>
          <w:lang w:eastAsia="es-AR"/>
        </w:rPr>
        <w:br/>
        <w:t>Dionisia Vera Quintana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19" w:anchor="15" w:history="1">
        <w:r w:rsidRPr="001B7F27">
          <w:rPr>
            <w:rFonts w:ascii="Arial" w:eastAsia="Times New Roman" w:hAnsi="Arial" w:cs="Arial"/>
            <w:color w:val="003399"/>
            <w:sz w:val="20"/>
            <w:szCs w:val="20"/>
            <w:lang w:eastAsia="es-AR"/>
          </w:rPr>
          <w:t>"El Garantismo en la Constitución “Formal” y “Material” del Paraguay: Conquistas, Déficits y Efectos no queridos"</w:t>
        </w:r>
      </w:hyperlink>
      <w:r w:rsidRPr="001B7F27">
        <w:rPr>
          <w:rFonts w:ascii="Arial" w:eastAsia="Times New Roman" w:hAnsi="Arial" w:cs="Arial"/>
          <w:color w:val="003399"/>
          <w:sz w:val="17"/>
          <w:szCs w:val="17"/>
          <w:lang w:eastAsia="es-AR"/>
        </w:rPr>
        <w:br/>
        <w:t>Jorge Seall-Sasiain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0" w:anchor="16" w:history="1">
        <w:r w:rsidRPr="001B7F27">
          <w:rPr>
            <w:rFonts w:ascii="Arial" w:eastAsia="Times New Roman" w:hAnsi="Arial" w:cs="Arial"/>
            <w:color w:val="003399"/>
            <w:sz w:val="20"/>
            <w:szCs w:val="20"/>
            <w:lang w:eastAsia="es-AR"/>
          </w:rPr>
          <w:t>"El Hábeas Data con relación a la Internet y a las Bases de Datos - Alcances de la libertad informática - La privacidad en la informática - El derecho a la intimidad en la Internet"</w:t>
        </w:r>
      </w:hyperlink>
      <w:r w:rsidRPr="001B7F27">
        <w:rPr>
          <w:rFonts w:ascii="Arial" w:eastAsia="Times New Roman" w:hAnsi="Arial" w:cs="Arial"/>
          <w:color w:val="003399"/>
          <w:sz w:val="17"/>
          <w:szCs w:val="17"/>
          <w:lang w:eastAsia="es-AR"/>
        </w:rPr>
        <w:br/>
        <w:t>Domingo José Luis Cieza G.</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1" w:anchor="17" w:history="1">
        <w:r w:rsidRPr="001B7F27">
          <w:rPr>
            <w:rFonts w:ascii="Arial" w:eastAsia="Times New Roman" w:hAnsi="Arial" w:cs="Arial"/>
            <w:color w:val="003399"/>
            <w:sz w:val="20"/>
            <w:szCs w:val="20"/>
            <w:lang w:eastAsia="es-AR"/>
          </w:rPr>
          <w:t>"El Notario como autoridad certificante: Con especial referencia a la Contratación Electrónica"</w:t>
        </w:r>
      </w:hyperlink>
      <w:r w:rsidRPr="001B7F27">
        <w:rPr>
          <w:rFonts w:ascii="Arial" w:eastAsia="Times New Roman" w:hAnsi="Arial" w:cs="Arial"/>
          <w:color w:val="003399"/>
          <w:sz w:val="17"/>
          <w:szCs w:val="17"/>
          <w:lang w:eastAsia="es-AR"/>
        </w:rPr>
        <w:br/>
        <w:t>Rosa Elena Di Martino Ortiz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2" w:anchor="18" w:history="1">
        <w:r w:rsidRPr="001B7F27">
          <w:rPr>
            <w:rFonts w:ascii="Arial" w:eastAsia="Times New Roman" w:hAnsi="Arial" w:cs="Arial"/>
            <w:color w:val="003399"/>
            <w:sz w:val="20"/>
            <w:szCs w:val="20"/>
            <w:lang w:eastAsia="es-AR"/>
          </w:rPr>
          <w:t>"El Querellante Adhesivo en el Proceso Penal Paraguayo"</w:t>
        </w:r>
      </w:hyperlink>
      <w:r w:rsidRPr="001B7F27">
        <w:rPr>
          <w:rFonts w:ascii="Arial" w:eastAsia="Times New Roman" w:hAnsi="Arial" w:cs="Arial"/>
          <w:color w:val="003399"/>
          <w:sz w:val="17"/>
          <w:szCs w:val="17"/>
          <w:lang w:eastAsia="es-AR"/>
        </w:rPr>
        <w:br/>
        <w:t>Rodolfo Fabián Centurión Ortiz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3" w:anchor="19" w:history="1">
        <w:r w:rsidRPr="001B7F27">
          <w:rPr>
            <w:rFonts w:ascii="Arial" w:eastAsia="Times New Roman" w:hAnsi="Arial" w:cs="Arial"/>
            <w:color w:val="003399"/>
            <w:sz w:val="20"/>
            <w:szCs w:val="20"/>
            <w:lang w:eastAsia="es-AR"/>
          </w:rPr>
          <w:t>"El Recurso Extraordinario de Casación"</w:t>
        </w:r>
      </w:hyperlink>
      <w:r w:rsidRPr="001B7F27">
        <w:rPr>
          <w:rFonts w:ascii="Arial" w:eastAsia="Times New Roman" w:hAnsi="Arial" w:cs="Arial"/>
          <w:color w:val="003399"/>
          <w:sz w:val="17"/>
          <w:szCs w:val="17"/>
          <w:lang w:eastAsia="es-AR"/>
        </w:rPr>
        <w:br/>
        <w:t>Oscar Germán Latorre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4" w:anchor="20" w:history="1">
        <w:r w:rsidRPr="001B7F27">
          <w:rPr>
            <w:rFonts w:ascii="Arial" w:eastAsia="Times New Roman" w:hAnsi="Arial" w:cs="Arial"/>
            <w:color w:val="003399"/>
            <w:sz w:val="20"/>
            <w:szCs w:val="20"/>
            <w:lang w:eastAsia="es-AR"/>
          </w:rPr>
          <w:t>"Estudio Práctico del Derecho de Sociedades en el Paraguay"</w:t>
        </w:r>
      </w:hyperlink>
      <w:r w:rsidRPr="001B7F27">
        <w:rPr>
          <w:rFonts w:ascii="Arial" w:eastAsia="Times New Roman" w:hAnsi="Arial" w:cs="Arial"/>
          <w:color w:val="003399"/>
          <w:sz w:val="17"/>
          <w:szCs w:val="17"/>
          <w:lang w:eastAsia="es-AR"/>
        </w:rPr>
        <w:br/>
        <w:t>Lucila Ortiz de Di Martino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5" w:anchor="21" w:history="1">
        <w:r w:rsidRPr="001B7F27">
          <w:rPr>
            <w:rFonts w:ascii="Arial" w:eastAsia="Times New Roman" w:hAnsi="Arial" w:cs="Arial"/>
            <w:color w:val="003399"/>
            <w:sz w:val="20"/>
            <w:szCs w:val="20"/>
            <w:lang w:eastAsia="es-AR"/>
          </w:rPr>
          <w:t>"La colisión del Artículo 36 y concordantes del Código Civil y otras leyes complementarias en el marco de la Convención Internacional sobre los Derechos del Niño"</w:t>
        </w:r>
      </w:hyperlink>
      <w:r w:rsidRPr="001B7F27">
        <w:rPr>
          <w:rFonts w:ascii="Arial" w:eastAsia="Times New Roman" w:hAnsi="Arial" w:cs="Arial"/>
          <w:color w:val="003399"/>
          <w:sz w:val="17"/>
          <w:szCs w:val="17"/>
          <w:lang w:eastAsia="es-AR"/>
        </w:rPr>
        <w:br/>
        <w:t>Irma Alfonso de Bogarín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6" w:anchor="22" w:history="1">
        <w:r w:rsidRPr="001B7F27">
          <w:rPr>
            <w:rFonts w:ascii="Arial" w:eastAsia="Times New Roman" w:hAnsi="Arial" w:cs="Arial"/>
            <w:color w:val="003399"/>
            <w:sz w:val="20"/>
            <w:szCs w:val="20"/>
            <w:lang w:eastAsia="es-AR"/>
          </w:rPr>
          <w:t>"La Comisión de Derechos Humanos y los Mecanismos Extraconvencionales de Naciones Unidas: El Grupo de Trabajo sobre la Detención Arbitraria"</w:t>
        </w:r>
      </w:hyperlink>
      <w:r w:rsidRPr="001B7F27">
        <w:rPr>
          <w:rFonts w:ascii="Arial" w:eastAsia="Times New Roman" w:hAnsi="Arial" w:cs="Arial"/>
          <w:color w:val="003399"/>
          <w:sz w:val="17"/>
          <w:szCs w:val="17"/>
          <w:lang w:eastAsia="es-AR"/>
        </w:rPr>
        <w:br/>
        <w:t>Soledad Villagra de Biedermann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7" w:anchor="23" w:history="1">
        <w:r w:rsidRPr="001B7F27">
          <w:rPr>
            <w:rFonts w:ascii="Arial" w:eastAsia="Times New Roman" w:hAnsi="Arial" w:cs="Arial"/>
            <w:color w:val="003399"/>
            <w:sz w:val="20"/>
            <w:szCs w:val="20"/>
            <w:lang w:eastAsia="es-AR"/>
          </w:rPr>
          <w:t>"La Política Internacional y los Procesos de Integración"</w:t>
        </w:r>
      </w:hyperlink>
      <w:r w:rsidRPr="001B7F27">
        <w:rPr>
          <w:rFonts w:ascii="Arial" w:eastAsia="Times New Roman" w:hAnsi="Arial" w:cs="Arial"/>
          <w:color w:val="003399"/>
          <w:sz w:val="17"/>
          <w:szCs w:val="17"/>
          <w:lang w:eastAsia="es-AR"/>
        </w:rPr>
        <w:br/>
        <w:t>Carlos Alberto González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8" w:anchor="24" w:history="1">
        <w:r w:rsidRPr="001B7F27">
          <w:rPr>
            <w:rFonts w:ascii="Arial" w:eastAsia="Times New Roman" w:hAnsi="Arial" w:cs="Arial"/>
            <w:color w:val="003399"/>
            <w:sz w:val="20"/>
            <w:szCs w:val="20"/>
            <w:lang w:eastAsia="es-AR"/>
          </w:rPr>
          <w:t>"La Transmisión de las Obligaciones: De la Cesión de Créditos a la Cesión del Contrato"</w:t>
        </w:r>
      </w:hyperlink>
      <w:r w:rsidRPr="001B7F27">
        <w:rPr>
          <w:rFonts w:ascii="Arial" w:eastAsia="Times New Roman" w:hAnsi="Arial" w:cs="Arial"/>
          <w:color w:val="003399"/>
          <w:sz w:val="17"/>
          <w:szCs w:val="17"/>
          <w:lang w:eastAsia="es-AR"/>
        </w:rPr>
        <w:br/>
        <w:t>María Esmeralda Moreno Rodríguez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29" w:anchor="25" w:history="1">
        <w:r w:rsidRPr="001B7F27">
          <w:rPr>
            <w:rFonts w:ascii="Arial" w:eastAsia="Times New Roman" w:hAnsi="Arial" w:cs="Arial"/>
            <w:color w:val="003399"/>
            <w:sz w:val="20"/>
            <w:szCs w:val="20"/>
            <w:lang w:eastAsia="es-AR"/>
          </w:rPr>
          <w:t>"Lógica de la Sentencia"</w:t>
        </w:r>
      </w:hyperlink>
      <w:r w:rsidRPr="001B7F27">
        <w:rPr>
          <w:rFonts w:ascii="Arial" w:eastAsia="Times New Roman" w:hAnsi="Arial" w:cs="Arial"/>
          <w:color w:val="003399"/>
          <w:sz w:val="17"/>
          <w:szCs w:val="17"/>
          <w:lang w:eastAsia="es-AR"/>
        </w:rPr>
        <w:br/>
        <w:t>Bettina Marcela Legal Balmaceda*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30" w:anchor="26" w:history="1">
        <w:r w:rsidRPr="001B7F27">
          <w:rPr>
            <w:rFonts w:ascii="Arial" w:eastAsia="Times New Roman" w:hAnsi="Arial" w:cs="Arial"/>
            <w:color w:val="003399"/>
            <w:sz w:val="20"/>
            <w:szCs w:val="20"/>
            <w:lang w:eastAsia="es-AR"/>
          </w:rPr>
          <w:t>"Por un Empleo Decente"</w:t>
        </w:r>
      </w:hyperlink>
      <w:r w:rsidRPr="001B7F27">
        <w:rPr>
          <w:rFonts w:ascii="Arial" w:eastAsia="Times New Roman" w:hAnsi="Arial" w:cs="Arial"/>
          <w:color w:val="003399"/>
          <w:sz w:val="17"/>
          <w:szCs w:val="17"/>
          <w:lang w:eastAsia="es-AR"/>
        </w:rPr>
        <w:br/>
        <w:t>Jorge Darío Cristaldo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31" w:anchor="27" w:history="1">
        <w:r w:rsidRPr="001B7F27">
          <w:rPr>
            <w:rFonts w:ascii="Arial" w:eastAsia="Times New Roman" w:hAnsi="Arial" w:cs="Arial"/>
            <w:color w:val="003399"/>
            <w:sz w:val="20"/>
            <w:szCs w:val="20"/>
            <w:lang w:eastAsia="es-AR"/>
          </w:rPr>
          <w:t>"Procedimiento Abreviado"</w:t>
        </w:r>
      </w:hyperlink>
      <w:r w:rsidRPr="001B7F27">
        <w:rPr>
          <w:rFonts w:ascii="Arial" w:eastAsia="Times New Roman" w:hAnsi="Arial" w:cs="Arial"/>
          <w:color w:val="003399"/>
          <w:sz w:val="17"/>
          <w:szCs w:val="17"/>
          <w:lang w:eastAsia="es-AR"/>
        </w:rPr>
        <w:br/>
        <w:t>Carolina Bogado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32" w:anchor="28" w:history="1">
        <w:r w:rsidRPr="001B7F27">
          <w:rPr>
            <w:rFonts w:ascii="Arial" w:eastAsia="Times New Roman" w:hAnsi="Arial" w:cs="Arial"/>
            <w:color w:val="003399"/>
            <w:sz w:val="20"/>
            <w:szCs w:val="20"/>
            <w:lang w:eastAsia="es-AR"/>
          </w:rPr>
          <w:t>"Régimen Jurídico Bursátil Apuntes Introductorios "</w:t>
        </w:r>
      </w:hyperlink>
      <w:r w:rsidRPr="001B7F27">
        <w:rPr>
          <w:rFonts w:ascii="Arial" w:eastAsia="Times New Roman" w:hAnsi="Arial" w:cs="Arial"/>
          <w:color w:val="003399"/>
          <w:sz w:val="17"/>
          <w:szCs w:val="17"/>
          <w:lang w:eastAsia="es-AR"/>
        </w:rPr>
        <w:br/>
        <w:t>José Antonio Moreno Rodríguez 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33" w:anchor="29" w:history="1">
        <w:r w:rsidRPr="001B7F27">
          <w:rPr>
            <w:rFonts w:ascii="Arial" w:eastAsia="Times New Roman" w:hAnsi="Arial" w:cs="Arial"/>
            <w:color w:val="003399"/>
            <w:sz w:val="20"/>
            <w:szCs w:val="20"/>
            <w:lang w:eastAsia="es-AR"/>
          </w:rPr>
          <w:t>"Sesiones del Congreso. Quórum y Mayorías"</w:t>
        </w:r>
      </w:hyperlink>
      <w:r w:rsidRPr="001B7F27">
        <w:rPr>
          <w:rFonts w:ascii="Arial" w:eastAsia="Times New Roman" w:hAnsi="Arial" w:cs="Arial"/>
          <w:color w:val="003399"/>
          <w:sz w:val="17"/>
          <w:szCs w:val="17"/>
          <w:lang w:eastAsia="es-AR"/>
        </w:rPr>
        <w:br/>
        <w:t>Luis Lezcano Claude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hyperlink r:id="rId34" w:anchor="30" w:history="1">
        <w:r w:rsidRPr="001B7F27">
          <w:rPr>
            <w:rFonts w:ascii="Arial" w:eastAsia="Times New Roman" w:hAnsi="Arial" w:cs="Arial"/>
            <w:color w:val="003399"/>
            <w:sz w:val="20"/>
            <w:szCs w:val="20"/>
            <w:lang w:eastAsia="es-AR"/>
          </w:rPr>
          <w:t>"Una década de Democracia"</w:t>
        </w:r>
      </w:hyperlink>
      <w:r w:rsidRPr="001B7F27">
        <w:rPr>
          <w:rFonts w:ascii="Arial" w:eastAsia="Times New Roman" w:hAnsi="Arial" w:cs="Arial"/>
          <w:color w:val="003399"/>
          <w:sz w:val="17"/>
          <w:szCs w:val="17"/>
          <w:lang w:eastAsia="es-AR"/>
        </w:rPr>
        <w:br/>
        <w:t>Rafael Filizzola Serra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 w:name="1"/>
            <w:bookmarkEnd w:id="1"/>
            <w:r w:rsidRPr="001B7F27">
              <w:rPr>
                <w:rFonts w:ascii="Arial" w:eastAsia="Times New Roman" w:hAnsi="Arial" w:cs="Arial"/>
                <w:b/>
                <w:bCs/>
                <w:color w:val="009933"/>
                <w:sz w:val="20"/>
                <w:szCs w:val="20"/>
                <w:lang w:eastAsia="es-AR"/>
              </w:rPr>
              <w:t>" El Análisis de las Metáforas, Ética y Religión en Ludwig Wittgenstein"</w:t>
            </w:r>
            <w:r w:rsidRPr="001B7F27">
              <w:rPr>
                <w:rFonts w:ascii="Arial" w:eastAsia="Times New Roman" w:hAnsi="Arial" w:cs="Arial"/>
                <w:color w:val="003399"/>
                <w:sz w:val="17"/>
                <w:szCs w:val="17"/>
                <w:lang w:eastAsia="es-AR"/>
              </w:rPr>
              <w:br/>
              <w:t>Fernando Tellechea Yampey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Filosofía del Derecho, Deontología Jurídica</w:t>
            </w:r>
          </w:p>
          <w:p w:rsidR="001B7F27" w:rsidRPr="001B7F27" w:rsidRDefault="001B7F27" w:rsidP="001B7F27">
            <w:pPr>
              <w:spacing w:before="100" w:beforeAutospacing="1" w:after="100" w:afterAutospacing="1" w:line="240" w:lineRule="auto"/>
              <w:jc w:val="right"/>
              <w:rPr>
                <w:rFonts w:ascii="Arial" w:eastAsia="Times New Roman" w:hAnsi="Arial" w:cs="Arial"/>
                <w:color w:val="003399"/>
                <w:sz w:val="17"/>
                <w:szCs w:val="17"/>
                <w:lang w:eastAsia="es-AR"/>
              </w:rPr>
            </w:pPr>
            <w:hyperlink r:id="rId35" w:anchor="arriba" w:history="1">
              <w:r w:rsidRPr="001B7F27">
                <w:rPr>
                  <w:rFonts w:ascii="Arial" w:eastAsia="Times New Roman" w:hAnsi="Arial" w:cs="Arial"/>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RESUMEN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presente trabajo trata de ubicar el pensamiento de Wittgenstein en lo que creemos que fue su intento fundamental: hacer filosofía a partir de una adecuada comprensión del lenguaje humano en cuanto modo básico de organización de nuestra experiencia de la realidad. El hilo conductor nos lo ofrece el estudio de las dos metáforas que desarrolló Wittgenstein para entender el lenguaje humano. La metáfora de la “figura” (Bild) y la metáfora de los “juegos lingüísticos” (Spiel – Sprachen) que corresponden, respectivamente, al primero y segundo periodo de su </w:t>
            </w:r>
            <w:r w:rsidRPr="001B7F27">
              <w:rPr>
                <w:rFonts w:ascii="Arial" w:eastAsia="Times New Roman" w:hAnsi="Arial" w:cs="Arial"/>
                <w:color w:val="003399"/>
                <w:sz w:val="17"/>
                <w:szCs w:val="17"/>
                <w:lang w:eastAsia="es-AR"/>
              </w:rPr>
              <w:lastRenderedPageBreak/>
              <w:t>pensamiento. La segunda metáfora se analiza en contraste con la primera, según indica el primer autor. Son ambas metáforas excluyentes o complementarias? Es un planteamiento que también se aborda en estas páginas. El análisis de las metáforas sobre el lenguaje nos conduce, casi espontáneamente, a una exposición, - bastante somera para no repetir ideas ya apuntadas -, del concepto wittgensteiniano de filosofía que permanece en todo momento pensado como “crítica del lenguaje” la cual exige métodos de trabajo adecuadamente diferenciados para los diversos “juegos lingüísticos”.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hay duda ya, a estas alturas del siglo XXI, de la importancia fundamental del filósofo austriaco Ludwig Wittgenstein. De él arrancan dos corrientes del pensamiento contemporáneo: el Positivismo lógico del Círculo de Viena y de sus secuaces en Inglaterra y Estados Unidos, y la “filosofía del lenguaje ordinario”, la cual sigue sobre las huellas del último periodo de nuestro autor. Su pensamiento se estudia en la actualidad con la paciencia exegética con que se indagan las obras de un Platón, un Agustín de Hipona, un Descartes, etc. Y esto con tanto mayor interés cuanto que Wittgenstein tuvo la honradez intelectual de renunciar a muchos de sus planteamientos originales para llegar a una visión distinta del lenguaje y de otros temas de la filosofía. No exageramos si afirmamos que en él se quiebra una conceptuación formalista de la filosofía para dar origen a un método filosófico basado en la crítica del lenguaje a partir de su comprensión cotidiana.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Nuestro estudio no se aboca directamente a un análisis lógico, el cual ya se ha hecho una y otra vez. Más bien, hemos elegido una interpretación histórica, ésta con el fin de ubicar el pensamiento del maestro vienés en la tradición de la problemática lingüística ligada a la filosofía, que desde El Cratilo Platónico hasta el estructuralismo jalona esta historia.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Hemos dividido la indagación en dos partes, como suele hacerse; la primera gira en torno al Tractatus, la segunda en torno a las obras que parten de las Philosophical Investigations. El hilo conductor de este estudio ha sido la interpretación de las dos metáforas que desarrolla Wittgenstein para entender el lenguaje humano: la primera se refiere a la metáfora de la “figura” (Bild) y la segunda metáfora de los juegos lingüísticos (Spiel-Sprachen), que corresponden al primero y segundo períodos de su pensamiento.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primera metáfora se asocia con determinadas características: el isomorfismo, el formalismo, el descripcionismo y el atomismo. Analizamos cada una de estas propiedades de la metáfora de la figura y sus implicaciones. La segunda metáfora se analiza en contraste con la anterior, como sugiere su autor, hablamos entonces, de una critica del formalismo, isomorfismo, descripcionismo y atomismo. Con lo cual se demuestra la mayor labilidad de la metáfora de los juegos lingüísticos para una más adecuada comprensión del lenguaje, y además, para una mejor adecuación del método filosófico-lingüístico. Concluimos nuestra indagación con la exposición del concepto Wittgensteiniano de la filosofía y del método por él propugnado, así como las consecuencias que de ello se derivan.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 - DOS METÁFORAS Y DOS TEORÍAS SOBRE EL LENGUAJE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Todo el pensamiento de Wittgenstein, se centra en el lenguaje y en los ejes que se cruzan en él: la lógica que le es inherente, los hechos que representa y la conexión entre ambos; todo lo cual se resume en el problema del significado. La primera teoría del lenguaje que desarrolla el filósofo austriaco está toda contenida en lo que denominamos la metáfora de la figura; la segunda interpretación, en cambio, está basada en la metáfora de los “juegos lingüísticos”. Entre una y otra median no pocas diferencias, se proyectan sobre dimensiones diferentes del lenguaje, implican conceptos distintos del significado y, en suma, conforman una teoría distinta del lenguaje. Nos interesa poner de relieve los alcances de cada una de éstas metáforas, su fecundidad para expresar una realidad, las implicaciones y supuestos que le son inherentes y , finalmente, sus limitaciones internas. Una metáfora puede ser fecunda o estéril, rica o pobre en expresividad. ¿Hasta dónde llega la expresividad, fecundidad y riqueza de las metáforas wittgensteinianas?. ¿Son realmente excluyentes como se ha supuesto, o, por el contrario, se complementan al alcanzar cada una potencia expresiva en su propia perspectiva sobre aspectos que tal vez la otra no logra integrar?. Examinaremos estos cuestionamientos a la luz directa del testimonio de nuestro autor.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1)LA METÁFORA DE LA FIGURA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Tractatus Lógico-PhilosóphicusS1)consagra unívocamente la metáfora de la“figura” como concepto explicativo, tal vez sólo pueda entenderse como una metáfora y sólo entonces podría rescatarse su valor interpretativo.</w:t>
            </w:r>
            <w:r w:rsidRPr="001B7F27">
              <w:rPr>
                <w:rFonts w:ascii="Arial" w:eastAsia="Times New Roman" w:hAnsi="Arial" w:cs="Arial"/>
                <w:color w:val="003399"/>
                <w:sz w:val="17"/>
                <w:szCs w:val="17"/>
                <w:lang w:eastAsia="es-AR"/>
              </w:rPr>
              <w:br/>
              <w:t>Nuestro autor anda en busca de un concepto explicativo del significado de las palabras, del sentido de las proposiciones, para lo cual forja su metáfora de la figura. N. Malcom nos narra cómo intuye Wittgenstein su símil “Descubrió que una oración debe ser una figura del hecho correspondiente al observar en una revista, un grabado de algunos coches de juguete usados en un tribunal como ayuda visual para representar un accidente de tránsito”(2). Anota Mundle que una de las propensiones de Wittgenstein fue tomar un símil como una especie de revelación, “para luego dedicar muchos años a luchar por explicar todo (o casi todo) en términos de uno o dos de esos símiles”.(3)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¿Cómo enuncia su autor la teoría del lenguaje como figura de los hechos?. Las siguientes son sus palabras: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“Nosotros nos hacemos figuras de los hechos”. (TLP, 2.1). “La figura presenta los estados de las cosas en el espacio lógico, la existencia y la no-existencia de los hechos atómicos”. (TLP, 2.11). “La figura es un modelo de la realidad” (TLP, 2.12). “A los objetos corresponden en la figura los elementos de la figura”. (TLP, 2.13).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término alemán BILD ha sido traducido al inglés por “picture” y al español por “figura”, “imagen”, e incluso “cuadro”. Esta noción de figura va unida al concepto de “representación”, como hace notar S. Toulmin; “las palabras Darstellen y Abbildung son usadas de una manera que refleja el uso del término Bild como una palabra de artificio”(4); o de “modelo”, como hace notar Pears(5). Tenemos, en consecuencia, que la “figura” representa (stell), hechos (estados de cosas). Wittgenstein utiliza el término “Sachverhalt” para designar “hechos atómicos”, que también suele traducirse “estado de cosas”; pero significa también “situación en cuanto ordenamiento de objetos, éste es un matiz que sugiere la misma palabra en su original alemán.(6)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figura representa “hechos”. Estos están constituidos a su vez por “objetos simples”. El mundo consiste en la totalidad de los hechos (TLP, 1.1). El hecho es lo que acaece (TLP, 2). Lo que acaece son los hechos atómicos. “El hecho atómico es una combinación de objetos” (entidades, cosas) (TLP, 2.01). Ya Russell, con quien Wittgenstein había discutido el “atomismo lógico” antes de 1917, había señalado: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primera verdad incontestable hacia la que quiero llamar la atención es, que el mundo contiene hechos”. “Las cosas, con toda evidencia, son componentes, en uno u otro sentido, de los hechos que en dichas propiedades entran en juego”.(7)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Tal es, pues, la tesis central: la figura representa los hechos. Ahora bien, la figura es el pensamiento, y la expresión del pensamiento es la proposición. “La figura lógica de los hechos es el pensamiento” (Gedanken) (TLP, 3). “En la proposición (saltz) el pensamiento se expresa perceptiblemente por los sentidos”. (TLP, 3.1).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Podría pensarse que todavía nos movemos meramente en el terreno lógico y no en el ámbito del “lenguaje”. Más no es así. La tesis 4 afirma: “La totalidad de las proposiciones es el lenguaje”. Con lo cual tenemos enunciada básicamente la teoría del lenguaje como “figura”. Podemos detenernos de inmediato en las implicaciones y supuestos de la teoría.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mismos pueden resumirse en los siguientes: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2)Isomorfismo entre la figura y lo figurado.</w:t>
            </w:r>
            <w:r w:rsidRPr="001B7F27">
              <w:rPr>
                <w:rFonts w:ascii="Arial" w:eastAsia="Times New Roman" w:hAnsi="Arial" w:cs="Arial"/>
                <w:color w:val="003399"/>
                <w:sz w:val="17"/>
                <w:szCs w:val="17"/>
                <w:lang w:eastAsia="es-AR"/>
              </w:rPr>
              <w:br/>
              <w:t>3)Descripcionismo.</w:t>
            </w:r>
            <w:r w:rsidRPr="001B7F27">
              <w:rPr>
                <w:rFonts w:ascii="Arial" w:eastAsia="Times New Roman" w:hAnsi="Arial" w:cs="Arial"/>
                <w:color w:val="003399"/>
                <w:sz w:val="17"/>
                <w:szCs w:val="17"/>
                <w:lang w:eastAsia="es-AR"/>
              </w:rPr>
              <w:br/>
              <w:t>4)Atomismo.</w:t>
            </w:r>
            <w:r w:rsidRPr="001B7F27">
              <w:rPr>
                <w:rFonts w:ascii="Arial" w:eastAsia="Times New Roman" w:hAnsi="Arial" w:cs="Arial"/>
                <w:color w:val="003399"/>
                <w:sz w:val="17"/>
                <w:szCs w:val="17"/>
                <w:lang w:eastAsia="es-AR"/>
              </w:rPr>
              <w:br/>
              <w:t>5)Formalismo.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isomorfismo.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Éste es enunciado por Wittgenstein de diversos modos: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claro que por muy diferente del real que se imagine un mundo debe tener algo –una forma – en común con el mundo real”. (TLP, 2.022).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elementos de la figura están en la figura en lugar de los hechos”. (TLP, 2.131).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figura consiste en esto: en que sus elementos están combinados uno respecto de otros de un modo determinado”. (TLP, 2.14).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así como el hecho atómico es una combinación de objetos determinados, así también la presentación de esos objetos en la figura ha de expresar la combinación de los objetos que configuran los hechos. Básicamente la metáfora de la figura intenta expresar la idea fundamental de que las proposiciones significativas de nuestro lenguaje están en correspondencia isomórfica con los objetos de la realidad que representa. Si los hechos son compuestos de objetos simples, de igual modo las proposiciones en que se figuran tales hechos han de exhibir una estructura compuesta de elementos simples. De hecho, éstos elementos son los “nombres” y la composición en que se dan tales nombres en la proposición. “El nombre significa el objeto. El objeto es su significado” (Badeutung). (TLP, 3.203). O también: “Los signos simples empleados en la proposición se llaman nombres”. (TLP, 3.202). Finalmente “A la configuración de los signos simples en el signo proposicional corresponde la configuración de los objetos en estado de cosas”. (TLO, 3.23). Ya Russell había señalado: “Lo que yo llamo hechos se expresa por medio de una oración completa y no de un nombre como Sócrates”.(8)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Así pues, los nombres son los elementos simples de la proposición, del mismo modo que los objetos son los elementos simples de los “hechos atómicos”. Debe notarse, sin embargo, que Wittgenstein no llega a la idea de </w:t>
            </w:r>
            <w:r w:rsidRPr="001B7F27">
              <w:rPr>
                <w:rFonts w:ascii="Arial" w:eastAsia="Times New Roman" w:hAnsi="Arial" w:cs="Arial"/>
                <w:color w:val="003399"/>
                <w:sz w:val="17"/>
                <w:szCs w:val="17"/>
                <w:lang w:eastAsia="es-AR"/>
              </w:rPr>
              <w:lastRenderedPageBreak/>
              <w:t>“objetos simples” por vía empírica, vale decir, por la constatación de cosas simples en la realidad fáctica, sino que los deduce como una “necesidad de análisis”. “Los objetos simples son presentados como algo que se exige por la naturaleza del lenguaje”; nos dice Anscombe.(9) “Es patente que en el análisis de las proposiciones debemos llegar a proposiciones elementales, las cuales constan de nombres en unión inmediata”. (TLP, 4.221). Ya en lo que Foucault denomina “la época clásica” aparece esta regla del análisis. Como dice Le Bel , a título de principio fundamental del análisis, “no hay ensamblaje en el que las partes no hayan existido por separado antes de ser ensambladas”(10). No sólo esto, sino también la idea del lenguaje como “representación” es parte esencial en la episteme de la época clásica; del mismo modo la estructura “binaria” de los signos es la que entonces comienza a imponerse. En el Renacimiento se tenía más bien la organización “ternaria”, herencia del estoicismo.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partir del estoicismo, el sistema de los signos en el mundo occidental había sido ternario, ya que se reconocía en él el significado, el significante y la “coyuntura” (el túgjanon). A partir del siglo XVII, en cambio, la disposición de los signos se convertirá en binaria, ya que se le definirá, de acuerdo con Port Royal, en el enlace de un significante y un significado”.(11)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Wittgenstein se atiene a ésta organización binaria del signo: la figura y lo figurado como el significante y el significado. Las siguientes palabras de Foucault en relación a la representación en la época clásica podrían aplicarse letra a letra a Wittgenstein: “El cuadro de los signos será la imagen de las cosas.... Por esto, el análisis del lenguaje, de Lancelot a Destutt de Tracy, ha sido hecho a partir de una gramática abstracta de los signos verbales y en la forma de una gramática general” (12). Conviene recordar que esta gramática general no es otra cosa que el ideal racionalista de la Mathesis Universal. Importa no olvidar los eslabones de la cadena: la coronación de la gramática lógica de Leibniz es la obra de Russell y Whitehead, “Principia Matemática” (1910) y Wittgenstein toma directamente de Russell el nuevo formalismo lógico-matemático.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Después de éste iluminador paréntesis histórico volvamos a las implicaciones del isomorfismo entre la figura y lo figurado. Anscombe hace notar que la relación entre la imagen y los objetos implican dos aspectos distintos y complementarios: a) la relación interna entre los elementos mismos de la imagen y b) la correlación externa con los objetos que la imagen representa.(13)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Estos dos aspectos corresponden a lo que denominaremos, en primer lugar, el formalismo (relación entre los elementos de la figura) y el descripcionismo (relación con los objetos fuera de la figura). El formalismo y el descripcionismo son igualmente los aspectos del isomorfismo: la figura en tanto es isomorfa con lo figurado, los elementos de la figura apuntan a los elementos del hecho atómico. Sobre ambos aspectos volveremos con mayor detalle.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Aquí cabe preguntarse por el estatuto de “hechos”, “objetos”, “realidad”, “realidad empírica”, etc., pues el Tractatus parece referirse a éstos correlatos objetivos de la figura de un modo puramente lógico-formal, aunque en otras ocasiones da la impresión de referirse a las cosas y realidades no ya formalmente, sino ontológicamente. La primera interpretación es sugerida por la expresión “el espacio lógico”.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hechos en el espacio lógico son el mundo” (TLP, 1.13). Tal como se dice en lógica: “p”, “q”, “-p”, son “lugares de argumentación” (TLP, 2.0131). Así como un objeto se ubica en un lugar del espacio, “p”, “q”, se ubican como argumentos en el espacio lógico. El significado de “hechos” sería el de correlato objetivo de los símbolos lógicos, más este correlato sería una necesidad deducida del formalismo lógico e inherente a él, no necesariamente algo fácticamente real. A lo más se trataría de una “ontología formal”, pero no de una ontología de contenido. Otros textos que sugieren la anterior interpretación son: “La lógica trata de toda posibilidad y todas las posibilidades son sus hechos”. (TLP, 2.0121). Además, “Si todos los objetos son dados, también se dan con ellos los posibles hechos atómicos”. (TLP, 2.0124). Vale decir, si conocemos “p”, “q”, “r”, sus valores de verdad están determinados por sus combinaciones posibles según las tablas de verdad de la lógica.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interpretación no-formal es sugerida por la noción de verdad, falsedad y sentido. En efecto, la verdad o la falsedad de una figura (proposición) es su adecuación con lo figurado, es decir, con los hechos que representa. Igualmente, el sentido (Sinn) de la proposición es su relación externa con los hechos. “Lo que la figura representa es su sentido” (TLP, 2.222). Es decir, la figura tiene sentido por relación a la realidad; si concuerda con ella es verdadera, si no concuerda con la realidad es falsa. La verdad o la falsedad suponen el sentido de la proposición; sólo se puede hablar de verdad o falsedad en relación con proposiciones que tienen sentido. Ahora bien, ¿la realidad sigue siendo aquí un mero espacio lógico?. Si así fuera, ¿no se trataría, por ende, de un puro juego entre formalidades? O en cambio, ¿Se desborda el puro espacio lógico para llegar hasta lo real?. Wittgenstein habla de la figura como una escala aplicada a la realidad. “Sólo los puntos extremos de la línea graduada tocan al objeto que ha de medirse”. (TLP, 2.15121).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isomorfismo perfecto entre la figura y lo figurado podría sugerir la tesis de una identidad entre el pensamiento y su objeto, y resolvería así radicalmente las ambigüedades de las anteriores interpretaciones. La estructura lógica coincide con la estructura de la realidad. “Que los objetos de la figura estén combinados unos respecto de otros de un modo determinado, representa que las cosas están combinadas también unas con respecto de las otras”. (TLP, 2.15). Pears anota algo que puede esclarecernos: “A través de Schopenhauer, a quien había leído y admirado, tomó </w:t>
            </w:r>
            <w:r w:rsidRPr="001B7F27">
              <w:rPr>
                <w:rFonts w:ascii="Arial" w:eastAsia="Times New Roman" w:hAnsi="Arial" w:cs="Arial"/>
                <w:color w:val="003399"/>
                <w:sz w:val="17"/>
                <w:szCs w:val="17"/>
                <w:lang w:eastAsia="es-AR"/>
              </w:rPr>
              <w:lastRenderedPageBreak/>
              <w:t>de Kant gran parte de la estructura del Tractatus. Y, aunque modificó dicho cuadro en su segundo periodo, nunca renegó de esta filiación”.(14) Recordemos la idea de Schopenhauer: “el mundo es mi representación”. ¿No sería ésta la mejor descripción del isomorfismo implicado en la metáfora de la figura?. De hecho, parece como si la estructura de los hechos atómicos en cuanto configuración de objetos no fuera más que una proyección isomórfica de la estructura de la proposición en cuanto compuesta de “nombres”. Russell afirma que “ciertas nociones que han merecido en filosofía la categoría de fundamentales deben por entero su origen, a confusiones relativas al simbolismo”.(15) Pero ¿no hay igual confusión cuando Wittgenstein atribuye a la estructura de los hechos la misma estructura de las proposiciones?. No suscribiría Wittgenstein la siguiente proposición del sistema spinozista: “el orden y la conexión de las ideas es el mismo orden y conexión de las cosas”.(16)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Anscombe es quien se atiene con mayor detalle y fidelidad al espíritu del maestro. Conviene, por tanto, detenernos en su interpretación.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proposiciones, entonces, poseen una característica que es muy comparable a una característica de las imágenes. Llamábamos “forma lógica” a la posibilidad del tipo de conexión que establece una proposición, del mismo modo puede llamarse forma espacial a la posibilidad de cualquier ordenamiento espacial. Y puesto que es gracias a la forma lógica que una estructura puede tener polos V o F, y que el hecho de ser algo verdadero o falso equivale a decir que la realidad es de este o de algún modo, Wittgenstein también la denomina “la forma de la realidad”.(17)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se trata, pues, de una identificación entre el pensamiento y su objeto, sino de una analogía entre la polaridad V – F de la proposición y el hecho de que es por relación a la realidad como determinamos la verdad o falsedad de la proposición. En lo que sigue nos atendremos a esta interpretación. Wittgenstein señala qué es lo que debe haber en común entre la figura y lo figurado, a fin de que aquélla pueda representar a ésta.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que la figura debe tener en común con la realidad para poder figurarla a su modo y manera - justa o falsamente – es su forma de figuración”.(TLP, 2.171).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más expresamente: “lo que cada figura, de cualquier forma debe tener en común con la realidad para poder figurar por completo – justa o falsamente – es su forma lógica, esto es, la forma de la realidad”. (TLP, 2.18). Así pues, lo común entre la figura y lo figurado es una forma lógica. Esto nos introduce en la segunda implicación de la metáfora de la figura: el formalismo.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formalismo.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el símil de la imagen o figura, en cuanto símil apto para entender el lenguaje, implique un alto grado de formalismo se desprende de las consideraciones ya efectuadas. Anscombe, nos advertía de las dos dimensiones de la figura: la interna y la externa. Justamente la interna, es decir, las relaciones entre los elementos de la figura, es lo que constituye lo que hemos denominado el formalismo de la metáfora. ¿En qué consiste en detalle esta estructura formal?. Los hechos atómicos que la figura representa son verdaderos o falsos en comparación con la realidad, según ya hemos explicado. En cambio, las combinaciones de hechos, los hechos moleculares, dependen para su verdad de las funciones de verdad de los hechos atómicos que los componen. Esta es la primera significación de la estructura formal del símil de la figura. No debe olvidarse que la forma de la figura es una forma lógica, y, sobre todo, que Wittgenstein elabora su Tractatus como una investigación acerca de los fundamentos de la lógica y de las matemáticas. “Yo concibo la proposición como Frege y Russell, como una función de las expresiones que contiene”. (TLP, 3.318). Esta es la primera significación del formalismo del símil de la figura. Que las proposiciones moleculares sean función de las proposiciones simples que contiene según su estructura lógica, es algo comúnmente aceptado en la lógica moderna; por lo cual no nos detendremos en este aspecto. Intentamos ir más a fondo en el formalismo implicado en la teoría del lenguaje que Wittgenstein nos propone. En efecto, el verdadero significado del formalismo consiste en la primacía del lenguaje formalizado sobre el lenguaje ordinario. Que una tal primacía sea sostenida por el autor del Tractatus es claramente reconocible. Veamos: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lenguaje ordinario ocurre muy a menudo que la misma palabra designe de modo y manera diferentes porque pertenezca a diferentes símbolos – o que dos palabras que designan de modo y manera diferentes, se usen aparentemente del mismo modo en la proposición. (TLP, 3.323).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cual viene a significar que la forma aparente del lenguaje ordinario es ambigua, polisémica. Y, como veremos, se trata justamente de eliminar toda posible ambigüedad, ambivalencia o vaguedad. De lo anterior concluye nuestro autor: “Así nacen fácilmente las confusiones más fundamentales (de las cuales están llena de toda filosofía) (TLP, 3.324). Pero sobre todo: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evitar estos errores debemos emplear un simbolismo que los excluya, no usando el mismo signo en símbolos diferentes ni usando aquellos signos que designen de modo diverso, de manera aparentemente igual. Un simbolismo, pues, que obedezca a la gramática lógica, a la sintaxis lógica.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simbolismo lógico de Frege y Russell es un tal simbolismo, aunque no exento aún de error). (TLP, 3.325).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Nada será más atacado por el autor de “Philosophical Investigations” que el formalismo del símil de la figura. Pero continuemos con las implicaciones del formalismo. Si el lenguaje ordinario es ambiguo, ¿cómo es posible que nuestro autor afirme que “el lenguaje está bien como está”?. “El lenguaje disfraza el pensamiento. Y de tal manera, que por la forma externa del vestido no es posible concluir acerca de la forma del pensamiento disfrazado; porque la forma externa del vestido está construida con un fin completamente distinto que el de permitir reconocer la forma del cuerpo”. (TLP, 4.002). De ahí que la forma propiamente tal del lenguaje sea su forma interna, es decir, su forma lógica. “Es humanamente imposible captar inmediatamente la lógica del lenguaje”. (TLP, 4.002).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tesis central del formalismo lingüístico consiste en afirmar la necesaria univocidad entre el símbolo y el significado. A cada símbolo debe corresponder un sólo significado, y sólo uno. Lo cual no sucede en la estructura aparente del lenguaje ordinario; por ello se impone la necesidad de un lenguaje formalizado. La tradición de la gramática lógica, de la Mathesis, llega aquí a su más alta cumbre (para empezar luego su inevitable descenso). Como explica acertadamente Foucault:</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trata, de hecho de dos técnicas correlativas, cuyo suelo común de posibilidad está formado por el ser del lenguaje, tal como se constituyó en el umbral de la época moderna. La elevación crítica del lenguaje, que compensaba su nivelación en el objeto, implicaba que éste fuera cercado a la vez por un acto de conocimiento puro de toda palabra y de aquello que no se conoce en ninguno de nuestros discursos. Era necesario o hacerlo transparente a las formas del conocimiento o hundirlo en los contenidos del inconsciente. Lo que explica muy bien el doble camino del siglo XIX hacia el formalismo del pensamiento y hacia el descubrimiento del inconsciente – hacia Russell y hacia Freud.(18)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Doble camino que no ha terminado aún, y que se proyecta en la interminable disputa representada por el “análisis” y “la hermenéutica”, o por ésta y los análisis estructurales. Todas posibilidades que surgen del lenguaje mismo: el formalista se atiene a la sintaxis, el estructuralista se apoya en la fonología, cuya combinatoria de fonemas reconstruye; y el hermeneuta en una semántica entendida como el desocultamiento del sentido prístino de la palabra.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Una tercera implicación del formalismo es su correspondiente concepto acerca de la lógica y de la matemática. Formalismo adoptado por los analistas, pero que también ha sido uno de los flancos de ataque directo. Este formalismo consiste en la conceptuación “tautologista” de la lógica y de las matemáticas. Wittgenstein, como bien reconoce Russell, fue el primero en llegar a la conclusión de que las proporciones de la lógica y de las matemáticas son tautológicas. La historia del problema es larga y compleja. Recordemos sólo a Leibniz, Kant y Russell. El primero entendía las verdades de razón como “analíticas”; y entendía por analítico un juicio cuyo predicado está ya contenido en el sujeto.(19)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la misma definición que sigue Kant. Pero éste, a diferencia de Leibniz, no considera que las proposiciones de la matemática sean “analíticas”, sino que las entiende como “juicios sintéticos a-priori”. Son a-priori por ser independientes de la experiencia, lo cual les da una validez universal y necesaria; pero son sintéticas porque aún en el más elemental juicio de las matemáticas hay una extensión del conocimiento y no una mera repetición o tautología.(20) Por su parte Russell vuelve a la teoría analítica de la lógica y la matemática: “Todos los vocablos que intervienen en el enunciado de una proposición puramente lógica pertenecen en realidad a la sintaxis”.(21)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cuanto a Wittgenstein, su tesis dice así: “La señal característica de las proposiciones lógicas está en que se puede reconocer sólo en el símbolo que son verdaderas o falsas”. (TLP, 6.113). “Todas las proposiciones de la lógica dicen lo mismo. Es decir, nada”. (TLP, 5.43).”Las proposiciones de la lógica son tautológicas” (TLP, 6.1). Por consiguiente, las proposiciones de la lógica no dicen nada. (Son proposiciones analíticas)”. “La matemática es un método lógico” (TLP, 6.2). “Las proposiciones matemáticas no expresan ningún pensamiento”. (TLP, 6.21).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Deben entenderse, empero, que la noción de “tautología” no significa aquí simple repetición. La proposición 6.113 expresa claramente lo que Wittgenstein entiende por analiticidad o tautología de las proposiciones matemáticas y lógicas: la verdad o falsedad puede conocerse por los símbolos y sus transformaciones, sin necesidad de recurrir a la experiencia para validarlas. Por ej.:</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 V p = p</w:t>
            </w:r>
            <w:r w:rsidRPr="001B7F27">
              <w:rPr>
                <w:rFonts w:ascii="Arial" w:eastAsia="Times New Roman" w:hAnsi="Arial" w:cs="Arial"/>
                <w:color w:val="003399"/>
                <w:sz w:val="17"/>
                <w:szCs w:val="17"/>
                <w:lang w:eastAsia="es-AR"/>
              </w:rPr>
              <w:br/>
              <w:t>v v v v v</w:t>
            </w:r>
            <w:r w:rsidRPr="001B7F27">
              <w:rPr>
                <w:rFonts w:ascii="Arial" w:eastAsia="Times New Roman" w:hAnsi="Arial" w:cs="Arial"/>
                <w:color w:val="003399"/>
                <w:sz w:val="17"/>
                <w:szCs w:val="17"/>
                <w:lang w:eastAsia="es-AR"/>
              </w:rPr>
              <w:br/>
              <w:t>f f f v f</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la verdad de la ley de identidad es conocida por el análisis de los símbolos y sus transformaciones. La teoría tautológica de la lógica y de las matemáticas implica por lo tanto, la eliminación de los juicios sintéticos a priori. Es decir, el rechazo de la solución kantiana al problema del conocimiento matemático y de los principios fundamentales sobre los que descansa todo el conocimiento humano. Pues, para Wittgenstein, no hay conocimiento a-priori sobre los hechos, no hay “necesidad” acerca de ningún conocimiento fáctico; tan sólo hay “necesidad lógica”. (TLP, 6.37).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“No hay figura verdadera a-priori”. (TLP, 2.225). Su idea de los “principios” es la siguiente: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“Todas las proposiciones tales como el principio de razón, la ley de continuidad de la naturaleza, del mínimo gasto en la naturaleza, etc., son intuiciones a-priori acerca de las posibles formas que se podrían dar a las proposiciones de la ciencia”. (TLP, 6.34).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los principios son intuiciones a-priori pero éstas no versan sobre el mundo, no son enunciados acerca de la realidad, sino sobre la forma de las proposiciones de la ciencia. Esto se ve más claro al hablar de la ley de causalidad: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de la causalidad no es una ley, sino forma de una ley”. (TLP, 6.32). Vale decir, las leyes de la ciencia tienen una “forma” causal; pero nada se dice de si los acontecimientos del mundo son “causados o no”. Como explicita en otro texto, “Leyes como el principio de razón, etc., tratan de la malla y no de lo que la malla describe”. La metáfora de la malla se refiere a lo a-priori, es la red conceptual previa con la cual nos lanzamos al conocimiento de la naturaleza; las leyes pertenecen al tejido de la malla, no a lo que se describe con ella. Los analistas posteriores seguirán esta doctrina y denominarán, en consecuencia, a los principios de la ciencia “principios pragmáticos”; son reglas necesarias para la investigación científica; esto es, tienen importancia metodológica, no ontológica.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todo lo anterior se muestra la idea de que no hay juicios sintéticos a-priori, es decir, conocimiento a-priori acerca de hechos o de la realidad. La lógica y la matemática son a-priori, pero se trata de una sintaxis lógico-formal. Los principios son instituciones a-priori, pero son reglas metodológicas de la investigación científica sin significado ontológico o real. Como ya notamos hace un momento, esta doctrina del tautologismo ha sido la más duramente criticada desde diferentes posiciones epistemológicas. El espacio breve de nuestra exposición nos impide detenernos en las mismas; pero creemos que es algo suficientemente conocido.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descripcionismo.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metáfora de la figura hace relación a sus elementos internos y, además, a la realidad, a los hechos. Ocupémonos de este segundo aspecto. Ya hemos hecho referencia a que el sentido de la figura, de la proposición está en su relación con los hechos, y que la verdad o falsedad se establece por su armonía con los hechos. Una proposición, dice Wittgenstein, es como una línea: puede tener un sentido hacia la izquierda o hacia la derecha, la proposición concuerda con los hechos o no concuerda con ellos.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sentido de la proposición no aparece en la proposición misma, ésta sólo muestra la forma de su sentido. El sentido de la proposición lo “pensamos” nosotros. En esto consiste el método de proyección: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método de proyección es el pensamiento del sentido de la proposición” (TLP, 3.11). “A la proposición pertenece todo aquello que pertenece a la proyección, pero no lo proyectado. O sea, la posibilidad de lo proyectado, pero no lo proyectado mismo”. (TLP, 3.13). Vale decir: la proposición nos da su sentido en su conexión con los hechos, pero no nos da los hechos mismos.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Conviene tener en cuenta, como ha observado Anscombe, contra la interpretación de Popper, que Wittgenstein no se refiere al sentido de una proposición como a un dato observacional. No se habla de observación, ni de datos sensoriales en el Tractatus. Las proposiciones elementales de que allí se habla no son enunciados sobre datos sensoriales. Se ha hecho notar repetidamente que Wittgenstein no da ejemplos de tales proposiciones elementales.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sentido, la teoría de las proposiciones en el Tractatus es puramente lógica, no hay ninguna alusión al pensamiento en su aspecto psicológico. En esto se diferencia claramente de los análisis russellianos. Como ya explicamos, Wittgenstein llega a la necesidad de proposiciones elementales como una necesidad de llevar el análisis hasta sus últimas consecuencias; es algo implicado en el método analítico.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una proposición es verdadera afirma, por tanto, un hecho positivo. Si la proposición es negativa ¿qué clase de hechos establece?. Establece un hecho negativo. ¿Pero qué es un hecho negativo?. Un hecho negativo es la no existencia de un hecho, sólo en tal sentido debe entenderse la expresión hecho negativo (TLP, 2.06). La explicación de Anscombe resulta suficientemente aclaratoria: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Resulta evidente que uno debe decir cuál es la situación que uno dice que no existe, y esto se dirá precisamente por el hecho de que la imagen representa exactamente esa situación. </w:t>
            </w:r>
            <w:r w:rsidRPr="001B7F27">
              <w:rPr>
                <w:rFonts w:ascii="Arial" w:eastAsia="Times New Roman" w:hAnsi="Arial" w:cs="Arial"/>
                <w:color w:val="003399"/>
                <w:sz w:val="17"/>
                <w:szCs w:val="17"/>
                <w:lang w:eastAsia="es-AR"/>
              </w:rPr>
              <w:br/>
              <w:t>Ninguna otra imagen es necesaria: no se podría, por ejemplo, mostrar otra imagen distinta de la situación que no existe. Debemos tener cuidado en no confundir una situación que no existe con lo que sí existe en lugar de otra cosa.(22)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Tanto si la proposición es verdadera como si es falsa, su sentido depende de su relación con los hechos; pero en ambos casos se refiere a los mismos hechos, en caso de verdad se establece el hecho, en caso de falsedad, se niega el hecho. Tal es el hecho negativo. No establece “otro” hecho, sino la negación de un hecho al cual se refiere el sentido (negativo) de la proposición.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Que la figura represente hechos, que las proposiciones de nuestro lenguaje se refiera a la realidad es un aspecto muy positivo relacionado con la metáfora de la “figura”. En efecto, mientras que la lingüística “científica” elimina toda referencia extralingüística (como el objeto referente) la teoría representacional del lenguaje establece el significado de las palabras y el sentido de las proposiciones por relación a los hechos y realidades a los cuales se refiere. La semántica filosófica se interesa por la relación de las “palabras y las cosas”, por la conexión entre los enunciados y los hechos que evoca, y no sólo por una relación intralingüística: sintáctica y gramatical. La filosofía del lenguaje considera tres aspectos básicos: 1. Las relaciones internas del sistema lingüístico (estructura formal: sintaxis). 2. La pragmática (el uso que los sujetos hacen de los enunciados lingüísticos). 3. La semántica (la relación del significado de las palabras con las cosas y de los enunciados con los hechos).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semántica tal como la desarrolla la lingüística establece una relación entre los significados mismos y no entre el significado y las cosas significativas. Esta relación extralingüística es, en cambio, esencial a toda teoría representacional del lenguaje. Foucault lo ha expresado con su habitual lucidez: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Sí, en el fondo de sí mismo, el lenguaje tiene por función el nombrar, es decir, el hacer surgir una representación o mostrarla como con el dedo, es una indicación y no un juicio. Se liga a las cosas por su marca, una nota, una figura asociada, un gesto que designa, etc.(23)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Ya desde el Cratilo platónico, el problema de la filosofía del lenguaje era enunciado así: ¿En qué relación están las palabras y las cosas? A partir del siglo XIX el lenguaje retrocede así mismo y se lo considera en su interna autonomía, en su ser intralingüístico: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análisis independiente de las estructuras gramaticales, tal como se lo practica en el siglo XIX, aísla por el contrario el lenguaje, lo trata como una organización autónoma, rompe sus ligas con los juicios, la atribución y la afirmación. El paso ontológico que el verbo se aseguraba entre el hablar y el pensar se ha roto; de golpe, el lenguaje adquiere su ser propio. Y éste ser es el que detenta las leyes que lo rigen”.(24)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la función designativa del lenguaje es extremada por Wittgenstein; no habrá campo más que para el lenguaje descriptivo. Esto puede demostrarse de diversas formas: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El término alemán SATZ indica tanto la proposición como la oración (frase)(25), de ningún modo se reduce a la sola proposición. Es sabido desde Aristóteles que no todas las oraciones son proposiciones, éstas son sólo las que tienen una función declarativa. Wittgenstein afirma lo siguiente: “La totalidad de las proposiciones es el lenguaje” (TLP, 4.001). Aquí Satz está entendido sólo como proposición. El lenguaje queda reducido a las proposiciones, es decir, a las oraciones declarativas, de las cuales se pueden decir que son verdaderas o falsas. Tal reducción es válida para la lógica, pero no para el lenguaje que desborda la función apofántica.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Nuestro segundo argumento se basa en la reducción del lenguaje al conjunto de las proposiciones de la ciencia natural.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totalidad de las proposiciones verdaderas es la ciencia natural”. (TLP, 4.11). Sólo las proposiciones pertenecen al lenguaje, y sólo las proposiciones de la ciencia natural pertenecen y forman la totalidad del lenguaje.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La consecuencia de lo anterior es la siguiente: lo que no se puede enunciar en el lenguaje de la ciencia natural, es mejor no decirlo. Se recluye al silencio toda forma no-descriptiva del lenguaje: los juicios de valor (ética y estética), la religión y la metafísica. Wittgenstein, a diferencia de otros positivistas, no niega los juicios de valor, ni declara sin sentido los enunciados de la metafísica y de la religión, tan sólo dice que nada se puede decir sobre ellos.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ideal cartesiano de la “claridad” es llevado a su máxima expresión, acorde con el ideal de la Mathesis Universal. Ya en el prólogo afirmaba: “Todo el significado del libro puede resumirse en cierto modo en lo siguiente: Todo aquello que puede ser dicho, puede decirse con claridad. Y de lo que no se puede hablar, mejor es callarse”. (TLP, 7). Acerca de la Ética afirma: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sentido del mundo debe quedar fuera del mundo. En el mundo todo es como es y sucede como sucede: en él no hay ningún valor, y aunque lo hubiese, no tendría ningún valor” (TLP, 6.41). “Por lo tanto, tampoco puede haber proposiciones de ética” (TLP, 6.42), Wittgenstein divide las proposiciones en tres clases: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6)Proposiciones tautológicas (analíticas): aquella cuya verdad o falsedad puede conocerse por los solos símbolos utilizados y por las reglas de su transformación. Son las proposiciones de la lógica y de la matemática.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7)Las proposiciones empíricas (sintéticas): aquellas cuyo sentido, verdad o falsedad depende de su acuerdo con los hechos.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8)Proposiciones naturales: aquellas de las cuales no podemos decir si son verdaderas o falsas, son pseudoposiciones. No describen nada. Son los enunciados de la ética, la metafísica, y la religión.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Al extremar la función designativa de las palabras y enunciados, se llega a la reducción del lenguaje al conjunto de las proposiciones de la ciencia natural. (Nótese que Wittgenstein sólo habla de la ciencia natural, nada se dice de las demás ciencias).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Aún nos queda una consecuencia del descripcionismo. Se trata de la sorpresiva tesis según la cual lo que la figura muestra no puede “decirse”. En sus propias palabras: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proposición puede representar toda realidad, pero no puede representar lo que debe tener en común con la realidad para poder representar la forma lógica. Para poder representarla debemos colocarnos con la proposición fuera de la lógica; es decir, fuera del mundo. La proposición no puede representar la forma lógica; se refleja, el lenguaje no puede representárnoslo. (TLP, 4.12; 4.121; 4.1212).(26)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Malcom explica esto así: “Una figura no puede salirse de sí misma para pintar su propia forma de figuración.... Por tanto, la forma lógica, la forma de la realidad, que toda figura debe poseer, no puede ser representada por ninguna figura”. No podemos salirnos de la lógica para representar la forma lógica. No podemos salirnos del lenguaje para representar lo que el lenguaje representa.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es necesario salirse del lenguaje para representar la forma como el lenguaje representa? ¿No respondía a dicho problema la teoría de los tipos de Russell?. Más no parece ser esta teoría lo que Wittgenstein rechaza, ya que él mismo la menciona y da su interpretación de la misma. En síntesis, la teoría de los tipos afirma que ningún enunciado lingüístico se refiere a sí mismo, y que para referirse a él es necesario utilizar un lenguaje de nivel superior. Con ello intentaba Russell resolver las paradojas lógicas que eran conocidas desde la antigüedad (la paradoja del mentiroso, por ejemplo, Epiménides el cretense dice: “todos los cretenses son mentirosos”, si el cretense miente, dice la verdad; y si dice la verdad, miente)(27). Wittgenstein se refiere a la teoría de los tipos diciendo: “Ninguna proposición puede decir nada de sí misma porque el signo proporcional no puede estar contenido en sí mismo” (ésta es toda la “teoría de los tipos”) (TLP, 3.332). Pero podría interpretarse esta proposición en el sentido siguiente: ninguna proposición puede decir nada de sí misma, pero tampoco puede decirse nada de ella en una proposición de un nivel superior. Con lo cual Wittgenstein aceptaría la parte negativa de la teoría de los tipos y rechazaría la parte positiva. A su vez, Russell se refiere a la tesis de Wittgenstein del siguiente modo: “.... después de todo, Wittgenstein encuentra el modo de decir una buena cantidad de cosas sobre aquello que nada se puede decir, sugiriendo así al lector escéptico la posible experiencia de una salida, bien sea a través de una jerarquía de los lenguajes o bien de cualquier otro modo”.(28)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obstante, sabemos que el autor del Tractatus rechazó el citado “prólogo” russelliano. Lo cual podría indicarnos que la interpretación esbozada podría ser plausible; se trataría de aceptar la parte negativa de la teoría de los tipos (ninguna proposición puede decir nada de sí misma) y rechazar la parte positiva (ni siquiera del lenguaje de un nivel superior). ¿Qué razones habrían llevado a Wittgenstein a tal rechazo? ¿Tal vez el progressus ad infinitum que tal solución supone? ¿Alguna contradicción interna a la teoría?(29)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Vale la pena detenernos en la interpretación que de esta tesis hace Anscombe.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Toda proposición genuina recoge ciertas existencias y no existencias de situaciones reales, y las propone como límite dentro del cual deben caer las existencias y las no existencias de las situaciones reales. Algo que tenga el aspecto de una proposición pero no haga esto, no puede en realidad, decir algo; no es la descripción de realidad alguna.(30)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otras palabras, la polaridad V o F es esencial a toda proposición, ésta establece una relación de acuerdo o desacuerdo con los hechos; pero si un enunciado no resulta ni verdadero ni falso es porque no describe nada de lo real. Donde no hay polaridad V - F no hay proposición y, por lo tanto, no hay representación de algo.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Esto significaría que los enunciados sobre la “forma lógica”, sobre la “forma de figuración” no afirman nada acerca de “hechos”, por lo tanto, no son proposiciones. Anscombe complementa su interpretación con una referencia a Carnap, éste habría objetado que el “metalenguaje” o “modo formal de hablar” es precisamente la respuesta a la tesis wittgensteiniana(31) Y que si es cierta la tesis del Tractatus, habrían tantas cosas “indecibles” como aquellas que se muestran; consecuencia de ello sería un fácil paso al misticismo, como ya había anotado también Russell en el prólogo al Tractatus. El misticismo, conviene recordarlo, consiste en lo inexpresable, en aquello de lo cual no podemos hablar claramente, es decir; los juicios de valor, etc. De todos modos, como venimos sosteniendo, tanto la no representabilidad de la forma de figuración como la inexpresividad de todo “valor” son consecuencias del descripcionismo. Dejando, por ahora, lo místico, volvamos a la argumentación de Carnap. Su teoría de los “metalenguajes” es asimismo una teoría de las “jerarquías del lenguaje”, se apoya pues en la misma base que la teoría de los tipos. Anscombe rechaza la solución de Carnap como un puro artificio(32). Con lo cual volvemos a nuestra interpretación: Wittgenstein rechaza que pueda hablarse de la forma de la proposición en un lenguaje de nivel superior, aunque acepta la parte negativa de la teoría de los tipos (ningún enunciado se refiere a sí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tesis del Tractatus es una consecuencia de la teoría lógica según la cual sólo hay proposiciones analíticas </w:t>
            </w:r>
            <w:r w:rsidRPr="001B7F27">
              <w:rPr>
                <w:rFonts w:ascii="Arial" w:eastAsia="Times New Roman" w:hAnsi="Arial" w:cs="Arial"/>
                <w:color w:val="003399"/>
                <w:sz w:val="17"/>
                <w:szCs w:val="17"/>
                <w:lang w:eastAsia="es-AR"/>
              </w:rPr>
              <w:lastRenderedPageBreak/>
              <w:t>(tautológicas) y empíricas (sintéticas), pues esta clasificación no permite un espacio lógico para otras clases de proposiciones. Esto se deduce de la explicación que recién nos daba Anscombe. Si una proposición solo puede ser verdadera o falsa por relación al acuerdo o desacuerdo con los hechos, o por las definiciones y transformaciones de los símbolos; no queda posibilidad para otra forma de verdad. Así, los enunciados sobre enunciados ¿son analíticos o sintéticos? ¿Su verdad o falsedad se deduce de los meros símbolos implicados en los enunciados sobre enunciados, o se establece por referencia a hechos?. Nuestra sugerencia apunta el hecho de que para evitar tales series formales que nunca terminarían, Wittgenstein establece la imposibilidad de hablar claramente sobre la forma de los enunciados, sobre la forma proporcional, declarando que ello se muestra, se “exhibe”. De ahí que los mismos enunciados y tesis del Tractatus no pueden situarse ni entre lo analítico ni entre lo sintético. Pero justo por ello no tienen más sentido que el de la escalera que una vez usada se abandona, como dice al final de la obra. Pears ha insistido en que los axiomas del Tractatus son verdades necesarias sobre hechos, lo cual va contra la división de los juicios en sintéticos y analíticos. Así, el denominado por este autor axioma X dice así: “Toda proposición tiene un sentido preciso, y éste es fáctico”. No es analítico (pues no es verdadero en virtud de los términos que contiene) ni es sintético (pues no es una verdad sobre hechos, sino sobre “proposiciones acerca de hechos”). Sobre tal enunciado Wittgenstein diría que lo que afirma se muestra en los enunciados mismos, pero que no puede “decirse” (a pesar de que él lo dice, aunque sólo sea para abandonarlo, como la escalera).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conclusión, si sólo hay proposiciones analíticas y proposiciones sintéticas, debe eliminarse todo enunciado sobre enunciados, pues éstos no se refieren a “hechos”, por lo tanto, no son proposiciones, (toda proposición debe tener una dirección V o F), ni se refieren a los términos mismos, su verdad no es analítica.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Volvamos ahora nuestra mirada hacia el contexto histórico. En efecto, la teoría del lenguaje como representación, en la época clásica, implicaba la “reflexibilidad de la representación”. Es decir, el lenguaje como “representación de la representación”.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su ser simple de idea, de imagen, asociada o sustituida por otra, el elemento significante no es un signo. Sólo llega a serlo a condición de manifestar además la relación que lo liga con lo que significa. Es, por tanto, necesario que represente, pero también que esta representación, a su vez se encuentre representada en él.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idea significante se desdobla, ya que a la idea que reemplaza a otra superpone la idea de su poder representativo.(33)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cuadro no tiene otro contenido que lo que representa y, sin embargo, este contenido sólo aparece representado por una representación.(34)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una palabra: la teoría representacional del lenguaje, implicaría un juego ilimitado de representaciones, el desdoblarse de una representación en otra. La novedad de Wittgenstein estaría, en consecuencia, en haber eliminado de raíz la flexibilidad de la representación, el juego ilimitado de representaciones. La figura representa los hechos, pero ahí termina el juego, pues no es posible seguir “diciendo” cómo la figura representa al hecho. La figura muestra lo que representa y basta. Su forma de figuración no puede a su vez figurarse. Los herederos de la teoría de la representación desdoblada serían los secuaces del “metalenguaje”. Wittgenstein introduce una ruptura con la teoría de la representación duplicada. ¿Es esta ruptura un acontecimiento epistémico fundamental?. Si así fuera ¿aún no habríamos terminado de comprender lo que ella significa, pues se trataría de una ruptura con una teoría del lenguaje que viene desde el siglo XVII?. Es “metalenguaje”, en cambio, es la coronación del ideal leibniziano, y de sus consecuencias. La claridad total del pensamiento y del lenguaje sólo se logra al precio de un recurso ilimitado. En cambio, la negación de la representación duplicada establece un campo de claridad en lo que la figura representa, y sólo allí; más allá no hay claridad y, por ende, no hay lenguaje. Tal vez comprendamos mejor todo esto al exponer la otra metáfora wittgensteiniana: los juegos lingüísticos.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atomismo.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Nos queda aún el supuesto básico de la metáfora de la figura: el atomismo. Russell sustituye el “atomismo psicológico” de Hume (siglo XVII) por el “atomismo lógico”. “Las proposiciones moleculares contienen otras proposiciones que podríamos llamar sus átomos”(35). Wittgenstein hace igual: “En las proposiciones, el pensamiento puede expresarse de modo que a los objetos del pensamiento correspondan los elementos del signo proporcional”. (TLP, 3.2). “A estos elementos los llamó “signos simples” y a la proposición completamente analizada”. (TLP, 3.201). Los nombres son los elementos simples de la proposición.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Estos elementos simples son los “signos primitivos” (TLP, 3.26). El significado de estos signos primitivos sólo puede “elucidarse” (TLP, 3.263). Los nombres tienen significado (Bedeutung), las proposiciones tienen “sentido” (Sinn).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el análisis deba llegar al postulado de “elementos simples” es algo sobre lo cual ya hemos hecho suficiente referencia. Detengámonos, consiguientemente, en otros de los aspectos del atomismo: la teoría analítica de la verdad. Esta es explicada del siguiente modo: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el mundo no tuviera ninguna substancia, dependería que una proposición tuviera sentido, de que otra proposición </w:t>
            </w:r>
            <w:r w:rsidRPr="001B7F27">
              <w:rPr>
                <w:rFonts w:ascii="Arial" w:eastAsia="Times New Roman" w:hAnsi="Arial" w:cs="Arial"/>
                <w:color w:val="003399"/>
                <w:sz w:val="17"/>
                <w:szCs w:val="17"/>
                <w:lang w:eastAsia="es-AR"/>
              </w:rPr>
              <w:lastRenderedPageBreak/>
              <w:t>fuese verdadera”. (TLP, 2.0211). “En este caso, sería imposible trazar una figura del mundo (verdadera o falsa)”. (TLP, 2.01212).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cual viene a significar: si el sentido de una proposición dependiera de otra proposición, y así sucesivamente, no podríamos llegar nunca a la verdad de cualquier proposición. Y, sin embargo, no es tal cosa lo que ocurre; pues entendemos el sentido y la verdad de una proposición refiriéndola a los objetos simples (substancia) que significan los átomos de la proposición, sin necesidad de hacer un excursus por todo el universo. Aquí, Wittgenstein se une, en su protesta, a Russell contra la concepción holística de la verdad. “La verdad está en todo” dice Hegel. La verdad de una proposición depende de su concatenación con otras de tal modo que reflejen el proceso total. Lo que Wittgenstein establece es la necesidad de determinar la verdad o falsedad de una proposición “en cada caso”, y esto por relación a los objetos simples que componen el hecho atómico. De lo contrario, habríamos de esperar conocer la verdad de todas las proposiciones acerca del mundo para conocer la verdad del caso particular que la proposición enuncia.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necesidad “analítica” de recurrir en última instancia a elementos simples fue ya pensada en el siglo XVII, según pudimos apreciar. Allí donde hablamos de proposiciones moleculares, se hace necesario poner de relieve las proposiciones atómicas que la componen, y, a su vez, sus elementos simples. Allí donde hablamos de “complejos” debemos pensar sus componentes simples. Y ello de tal modo que el análisis puede por descomposición o por composición. Para reducir lo complejo a lo simple, o, al revés, para construir con lo simple lo complejo. “La proposición construye un mundo con la ayuda de un armazón lógico”. (TLP, 4.023). “El mundo está completamente descrito por la especificación de todas las proposiciones elementales más la indicación de cuáles son verdaderas y cuáles son falsas”. (TLP, 4.26). Y también: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proposiciones elementales se dan grupos posibles de condiciones de verdad. Los grupos de condiciones de verdad que pertenecen a las posibilidades de verdad de las proposiciones elementales pueden ordenarse en una serie. (TLP, 4.45).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Entre los posibles grupos de condiciones de verdad hay dos casos extremos.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uno la proposición es verdadera para todas las posibilidades de verdad de las proposiciones elementales. Nosotros decimos que las condiciones de verdad son tautológicas. En el otro caso la proposición es falsa para todas las posibilidades de verdad: las condiciones de verdad son contradictorias. (TLP, 4.46).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todo lo cual queda clara la forma del análisis: hacia delante o hacia atrás, hacia lo complejo o hacia lo simple.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1.5. Recapitulación.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metáfora de la figura como teoría del lenguaje implica: que la figura representa hechos, que entre estos y aquellas hay una relación isomórfica, es decir, que los elementos de la figura se corresponden con los elementos de los hechos. Éste isomorfismo de base da origen a dos implicaciones más: la figura puede analizarse en sus condiciones externas, en la correlación formal de los elementos que la componen (es lo que denominamos la implicación del formalismo); pero la figura puede analizarse por su acuerdo o desacuerdo con la realidad; es su relación externa, su implicación descriptiva o descripcionismo. La exageración de la descripción consiste en negar todo aspecto no-descriptivo en la figuración de los hechos. Lo no-descriptivo del lenguaje es lo inexpresable, esto es lo místico. Finalmente, todo método puramente analítico implica la reducción del complejo a sus constituyentes elementales y la composición de los elementos en el complejo.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metáfora de la figura tiene, pues, un cierto campo legítimo de aplicación. En especial pone de relieve la conexión de las palabras y las cosas, de los enunciados y los hechos que describe. Pero al sólo retener como válida la metáfora de la figura se cae en un reduccionismo descripcionista. Este elimina del lenguaje todo aspecto no-descriptivo del mismo. Elimina de un brochazo el lenguaje de la ética, de la religión de la metafísica, de la estética. La única forma válida del lenguaje es, entonces, el lenguaje de la ciencia natural. Todo ello muestra de por sí que una tal metáfora es limitada, que si bien se puede sacar de ella cierta ilustración acerca del lenguaje humano, pretender que agota la riqueza y amplitud del mismo es una ilusión que el mismo autor se vio obligado a reconocer. Una metáfora es sólo una metáfora, puede ser rica o pobre en expresividad pero jamás puede pretenderse que se agote con una, por rica que sea, la complejidad de cualquier hecho, por simple que sea.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Nuestro “análisis” ha insistido en ciertos trasfondos históricos que nos han permitido ubicar mejor la obra de Wittgenstein. Hemos podido constatar, siguiendo a Foucault, que el ideal formalista del cual el autor del Tractatus es su límite extremo, es la consumación de la idea racionalista (de Descartes a Leibniz, de éste a Russell) de la Mathesis Universalis. Del mismo modo, la teoría del lenguaje como representación es heredera de la episteme del siglo XVII (época clásica según la terminología de Las palabras y las cosas). Wittgenstein se hace eco en su teoría de la figura, de dicha concepción representativa del lenguaje; pero, al mismo tiempo, establece una realidad radical: rompe con la duplicidad de la representación. En la representación se representa algo, pero no puede a su vez, representar la forma en que se representa. En el lenguaje lógico: la proposición enuncia algo acerca de los hechos, pero no puede enunciar algo acerca de la proposición misma. Wittgenstein, según nuestra observación, acepta de la </w:t>
            </w:r>
            <w:r w:rsidRPr="001B7F27">
              <w:rPr>
                <w:rFonts w:ascii="Arial" w:eastAsia="Times New Roman" w:hAnsi="Arial" w:cs="Arial"/>
                <w:color w:val="003399"/>
                <w:sz w:val="17"/>
                <w:szCs w:val="17"/>
                <w:lang w:eastAsia="es-AR"/>
              </w:rPr>
              <w:lastRenderedPageBreak/>
              <w:t>teoría de los tipos que ningún enunciado puede referirse a sí mismo, pero rechaza que pueda enunciarse la forma de enunciación en un lenguaje de nivel superior. ¿Cuáles son las consecuencias de esta ruptura?. Wittgenstein participa del ideal formalista que hereda de Descartes, pero, al mismo tiempo, y esto es lo decisivo, da un paso (un salto en el abismo?) en la dirección en la cual ese ideal se resquebraja. Pues la negación de la representación duplicada, del lenguaje que se refiere a sí mismo, significa decididamente el límite extremo de su posibilidad y el comienzo de su caída. Al analizar la metáfora de los juegos lingüísticos podremos todavía iluminar estas consecuencias.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9)LA METÁFORA DE LOS JUEGOS LINGÜÍSTICOS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Philosophische Untersuchungen(36) (1945) recogen el fruto de la nueva orientación. Ya en el prólogo señala Wittgenstein que sus nuevos planteamientos tienen su significación en contraste con las tesis del Tractatus. No porque sus nuevas investigaciones sean la completa negación de su primer periodo, pero sí por la nueva orientación que ellas implican.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periodo de transición va de 1930 a 1934. Se cuenta(37) que el economista italiano Sraffa, amigo de Wittgenstein, hizo un gesto con la mano, común entre los napolitanos, y le preguntó a Wittgenstein por la “forma lógica”. Según atestigua él mismo, ésta petición de Sraffa le hizo poner en duda su tesis acerca de la forma lógica de los hechos.</w:t>
            </w:r>
            <w:r w:rsidRPr="001B7F27">
              <w:rPr>
                <w:rFonts w:ascii="Arial" w:eastAsia="Times New Roman" w:hAnsi="Arial" w:cs="Arial"/>
                <w:color w:val="003399"/>
                <w:sz w:val="17"/>
                <w:szCs w:val="17"/>
                <w:lang w:eastAsia="es-AR"/>
              </w:rPr>
              <w:br/>
              <w:t>Si el Tractatus es una obra sistemática, perfectamente acabada, claramente definida en su tesis y segura en sus planteamientos; Ph. Untersuchungen, y sus obras posteriores, son más un método que la exposición de una doctrina. Sus tesis son más difíciles de apresar en una fórmula. Si en el Tractatus los ejemplos estaban perfectamente ausentes, “Ph. Investigation” y su obra posterior, el cuerpo de la obra consiste básicamente en detallados análisis de ejemplos de juegos lingüísticos, de los cuales da centenares.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2.1. Crítica de la Descripción.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nuevos planteamientos wittgensteinianos rechazan la teoría del lenguaje como figura, como representación de los hechos. Comienza ahora por admitir que es un error afirmar que la significación de una palabra o de un enunciado sea el objeto o los hechos a los cuales se refiere. Atribuir un nombre a cada cosa es un tipo de “juego lingüístico”, pero así como no todos los juegos son iguales, tampoco los juegos lingüísticos son iguales. Si sólo sabemos lo que las palabras nombran o aquello a que los enunciados se refieren no dominaríamos el juego del lenguaje. Cuando jugamos ajedrez no es suficiente conocer el nombre de las piezas para saber jugar. Sólo cuando se saben cómo se denominan los diversos juegos lingüísticos se puede decir que se sabe cómo se usan las palabras. Y los juegos lingüísticos son múltiples, el juego denominativo es uno entre otros. En expresión del autor: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¿cuántas clases de enunciados hay?. ¿Acaso sólo aserciones, interrogaciones y respuestas?. Existen innumerables clases de sentencias, incontables usos posibles de eso que llamamos “signos”, “palabras”, “enunciados”. Y ésta multiplicidad no es algo acabado, algo dado de una vez para siempre; más bien nos encontramos con que surgen nuevas clases de lenguaje, nuevos juegos lingüísticos, en tanto que otros envejecen y se olvidan (PH. U. N° 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Señala Wittgenstein que Agustín de Hipona (38) nos narra cómo aprendió el lenguaje: mediante la enseñanza de nombres de las cosas. Se aprende el “color rojo” señalando un objeto rojo. Es lo que Russell denomina “definición ostensiva”. Pero rechaza que tal como el aprendizaje de las palabras sea el comienzo lógicamente necesario de todo aprendizaje lingüístico. Pues las definiciones ostensivas presuponen ciertos conocimientos; en el ejemplo anterior, el niño no podría aprender el significado color “rojo” si no sabe qué es “color”. La definición ostensiva, por ende, explica el uso de un término cuando ya está clara su función en el lenguaje.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Wittgenstein concluye que no hay límites en la construcción de juegos lingüísticos. Y, en consecuencia, que sólo de ciertos juegos lingüísticos se puede decir que consisten en “nombrar” cosas u acontecimientos. Su tesis central será que el significado de una palabra, de una expresión, de un enunciado es su “uso”. “No se puede adivinar cómo funciona una palabra, hay que mirar su uso y aprender de esta mirada”. (PH. U. N° 111).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en otro lugar: “Lo que hay que hacer en tales casos es contemplar siempre cómo se usan de hecho en nuestro lenguaje las palabras en cuestión”. (BBB, p. 89).</w:t>
            </w:r>
            <w:r w:rsidRPr="001B7F27">
              <w:rPr>
                <w:rFonts w:ascii="Arial" w:eastAsia="Times New Roman" w:hAnsi="Arial" w:cs="Arial"/>
                <w:color w:val="003399"/>
                <w:sz w:val="17"/>
                <w:szCs w:val="17"/>
                <w:lang w:eastAsia="es-AR"/>
              </w:rPr>
              <w:br/>
              <w:t>La nueva metáfora para comprender el lenguaje es, pues, de los “juegos lingüísticos”. Pero Wittgenstein se apresura a decirnos que no debemos buscar algo “común” a todos los juegos lingüísticos. Así como el término “juego” no tiene nada en común con los distintos juegos a los cuales se aplica el significado de la palabra. Es un hábito, ejemplificado ya en el Tractatus, significar las palabras por medio de definiciones generalizantes, por medio de sus propiedades comunes a los objetos y hechos a los cuales se aplica. Pero la palabra “juego” y muchas otras nos enseñan que tal método “lógico” no siempre es posible, es un juego entre otros. Pues ¿qué tienen de común el ajedrez, el bridge, el fútbol?. Nada hay en común, tan sólo una red de similitudes, “un aire de familia”. Del mismo modo, el “lenguaje” no es definible. Veamos: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¡Cómo te simplificas el trabajo! Hablas de juegos lingüísticos, pero en ningún momento especificas qué es lo </w:t>
            </w:r>
            <w:r w:rsidRPr="001B7F27">
              <w:rPr>
                <w:rFonts w:ascii="Arial" w:eastAsia="Times New Roman" w:hAnsi="Arial" w:cs="Arial"/>
                <w:color w:val="003399"/>
                <w:sz w:val="17"/>
                <w:szCs w:val="17"/>
                <w:lang w:eastAsia="es-AR"/>
              </w:rPr>
              <w:lastRenderedPageBreak/>
              <w:t>esencial del juego lingüístico y, en consecuencia, del lenguaje. Lo que todas estas actividades tienen en común, es decir, lo que las convierte en lenguaje o parte del lenguaje. Te ciñes, pues, a la parte de la investigación que en otra época más quebraderos de cabeza te dio, es decir, a la parte correspondiente a la “forma general de la proposición y del lenguaje” (PH. U. N° 65).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más 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 aquí el resultado de esta investigación: vemos una complicada red de similitudes que se entrecruzan y se relacionan unas con otras. Similitudes en lo grande y lo pequeño. (Ib. N° 66).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puedo caracterizar mejor éstas similitudes que mediante la expresión “un aire de familia”; porque, efectivamente, así se entrecruzan y relacionan unas con otras las diversas similitudes existentes entre los diversos miembros de una familia: estatura, rasgos faciales, color de ojos, manera de andar, temperamento, etc. Y aún diría: los “juegos” forman una familia (Ib. N° 67).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interesante anotar, además, que el nuevo método filosófico aunque sigue siendo esencialmente lingüístico ya no será “figura” pero en un sentido distinto al asignado en el Tractatus. La “figura” será el trasfondo último de nuestra manera de pensar el mundo, inherente, por tanto, a nuestra “forma de vida”.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Yo no procuro mi figura del mundo porque me cerciorará de su corrección. No: es el telón de fondo heredado contra el cual distingo entre lo verdadero y lo falso. (U. G. N° 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 Pears señala el nuevo cariz antropológico (dice incluso “antropocéntrico”) de la teoría del lenguaje implicada en la obra superior de Wittgenstein. Por su parte Foucault señala igualmente este matiz antropológico en la constitución de la Filología, en los análisis de Bopp, Grimm, Schlegel, Humboldt. Su resumen dice así:</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como el organismo vivo manifiesta por su coherencia las funciones que lo mantienen en vida, el lenguaje, y en toda la arquitectura de su gramática, hace visible la voluntad fundamental que mantiene vivo a un pueblo y le da poder de hablar un lenguaje que sólo pertenece a él.(39)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Foucault caracteriza la nueva conceptuación del lenguaje en base a los siguientes aspectos: a) como una actividad, b) como una expresión de forma de vida de un pueblo, c) ligado a la historicidad; d) como un sistema. Todas estas cuatro características se encuentran en Wittgenstein II. El desplazamiento del lenguaje como representación hacia su dimensión antropológica fue realizado por la filología del siglo XIX.</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dominio del lenguaje la palabra sufrió, más o menos por la misma época, una transformación análoga: con toda certeza no deja de tener sentido y de “representar” algo en el espíritu de quien la utiliza o la oye; pero éste papel no es ya constitutivo de la palabra en su ser mismo, en su arquitectura esencial.(40)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Habíamos señalado la doble vía de análisis posibilitada en la episteme clásica: formalizar e interpretar, personificadas en Russell y Freud. ¿No sería posible afirmar que Wittgenstein habría pasado de Principia Matemática a “Psicopatología de la vida cotidiana”?. Quizás pueda advertirse un cierto desplazamiento de lo uno a lo otro; por ejemplo, Wittgenstein habla de su método como uno de tipo terapéutico; los “embrujos” metafísicos de las palabras serían lo que los “complejos” son para el psicoanalista. “El tratamiento que un filósofo da a una cuestión es como el tratamiento de una enfermedad”. (P.U. N° 255). “La filosofía es una batalla contra el embrujo de nuestra inteligencia por medio del lenguaje”. (P.U. N° 109). Se sabe, además que Wittgenstein II se ocupó del pensamiento del fundador del psicoanálisis: “Conversation on Freud”(41). Más por otra parte, los juegos lingüísticos tienen de por sí un cierto carácter sistémico que podrían compararse a los “campos semánticos” del estructuralismo. La posición antiatomista es claramente observable en el segundo periodo de la obra Wittgensteiniana. En todo caso, en uno y otro caso son acercamientos, y no deben llevarse tales analogías más allá de lo necesario.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Consideramos otra formulación de la base antropológica de acuerdo a un modelo lógico. El método de la filosofía no es el método de la ciencia, no han de buscarse generalizaciones. Hemos de indagar los “usos” del lenguaje, por tanto debemos permanecer siempre vinculados en la “empiria” lingüística. “Nuestra ansia de generalidad tiene otra fuente principal: nuestra preocupación por el método de la ciencia... En la realidad la filosofía es puramente descriptiva”. (BBB, p. 46). Tendremos ocasión de volver sobre las implicaciones del nuevo método y su posición en relación con los métodos científicos.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nueva teoría del lenguaje se asienta sobre otra tesis que nos parece de suma importancia. El lenguaje es una forma de vida. El lenguaje es una actividad integrante de nuestra conducta. Todo lenguaje traduce una forma de vida. El lenguaje supone ya una cierta comprensión de la realidad. Vale la pena detenerse en las palabras de Wittgenstein: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Cabe imaginar muy bien un lenguaje formado tan sólo por órdenes y partes de batalla. O un lenguaje que sólo viniera a constar de palabras y un par de expresiones, una para la respuesta positiva y otra para la respuesta negativa. E innumerables otros. Imaginar un lenguaje equivale a imaginar una forma de vida. (P.U. N° 19).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Del mismo modo: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la expresión juego lingüístico le incumbe destacar aquí que hablar de un lenguaje forma parte de una actividad o de una forma de vida. (P.U. N° 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Asimismo: “ Lo que proporcionamos en realidad son observaciones sobre la historia natural de los seres humanos”. (P.U. N° 415). Se verá, al referirnos a la crítica del formalismo, cómo se vincula ésta base antropológica del lenguaje con la nueva interpretación de la lógica y de las matemáticas. Se verá igualmente la introducción de conceptos como: “historicidad”, “sistema” (no-atomismo).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modo de resumen de la crítica del descripcionismo, enumeramos algunos múltiples juegos lingüísticos que Wittgenstein señala; los cuales sobrepasan el puro límite del lenguaje descriptivo: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Dar órdenes u obedecerlas. Describir la apariencia de un objeto, o dar sus medidas. Construir un objeto a partir de su descripción (un dibujo). Informar sobre un suceso. Especular acerca de un suceso. Formar y probar hipótesis, presentar los resultados de un experimento en cuadros y diagramas. Inventar una historia, y leerla. Actuar en una pieza teatral. Cantar estribillos. Adivinar adivinanzas. Hacer un chiste, contarlo. Resolver problemas de aritmética práctica. Traducir de una lengua a otra. Pedir, agradecer, reñir, saludar, orar. (P.U. N° 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hace patente pues, la variedad múltiple de los usos del lenguaje, tan variado como las múltiples manifestaciones de la vida. Estamos lejos de la univocidad del cuadro proporcional del Tractatus. Lejos del descripcionismo, de un patrón único para entender la compleja realidad del lenguaje humano.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2.2. Crítica del Formalismo.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Sugerimos que el rechazo de la tesis según la cual la forma lógica de la proposición no puede expresarse en un lenguaje de nivel superior significaba el comienzo de un salto más allá del formalismo; ciertamente no sabemos si su autor fue plenamente consciente de ello.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Allí encaja bien la pregunta: “¿Cómo saber – de no ser por algunos indicios que apenas se interpretan mal – que el lenguaje (justo aquél del que uno se sirve) está en vías de adquirir una dimensión irreductible a la discursividad pura?”(42). Es justamente la respuesta que Wittgenstein ofrece en su crítica del formalismo del Tractatus.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Ya no se hablará de la corrección o incorrección de las proposiciones, sino de su posibilidad de ser comprendidas o malentendidas. Lo decisivo no es conseguir una mayor precisión reformulando un nuevo enunciado, sino comparar con otros enunciados en vistas de determinar su “uso” en la comprensión cotidiana. El embrujo de las palabras descansará, entonces, en querer darles un sentido que se aparta de su uso normal en el lenguaje ordinario; el metafísico equivoca el sendero al intentar dar a las palabras y enunciados una significación que las saca de su “hogar”, de su común comprensión. “Las proposiciones a las que se vuelve una y otra vez como si estuvieran embrujadas; a éstas yo quisiera expurgar del lenguaje filosófico”. (U.G. N° 31).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panorama ¿cuál es la nueva interpretación de la lógica y de las matemáticas?. Pears ha captado bien la significación de la nueva idea del formalismo lógico-matemático. Lo resume así:</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fuentes de la necesidad, en lógica y en matemáticas, son inseparables del área del discurso que las rige en la práctica lingüística habitual.(43)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Señala igualmente Pears que esta interpretación lingüística del formalismo matemático está influenciado por la tesis del matemático Brouwer, también éste sostenía que los postulados de la lógica y del lenguaje se fundan en ciertas prácticas del lenguaje. Wittgenstein asistió a una serie de conferencias del matemático intuicionista. Por su parte, nuestro autor expresa su tesis del modo siguiente: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Sería posible imaginar que algunas proposiciones, de la forma de las proposiciones empíricas, se solidificaran y funcionaran como conductos para aquellas proposiciones empíricas que no estuvieran solidificadas sino fluidas; y que ésta relación cambia con el tiempo, en el sentido de que las proposiciones fluidas se solidificarán, y que las sólidas se volverán fluidas. (U.G. N° 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símil del conducto dice en relación al “a-priori” y lo fluido, lo que fluye por el conducto se refiere a lo empírico, a lo a-posterior. Más ahora esta clasificación queda sujeta a la erosión del tiempo, a una historicidad que la hace saltar de la una a la otra. Más adelante continua la argumentación: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si a alguien se le ocurriera decir “entonces la lógica es una ciencia empírica”, se equivocaría. Sin embargo, esto es correcto: la misma proposición puede ser tratada una vez, como algo a verificar mediante la experiencia, otra vez, como regla de verificación”. (Ib. N° 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“Pero yo distingo entre el movimiento de las aguas sobre el lecho del río y el cambio del lecho del mismo; aunque no hay división pronunciada del uno respecto del otro”. (Ib. N° 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la proposición 12 x 12: 144 está exenta de toda duda, entonces también deben estarlo las proposiciones no matemáticas”. (Ib. N° 653).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juego físico es tan cierto como el aritmético. Pero puede ser malentendido. Mi observación es lógica, no psicológica” (Ib. N° 447).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acuerdo a la metáfora “heraclítea” (incluyendo el lecho del río) sólo podríamos hablar de una estabilidad mayor o menor, las proposiciones de la lógica y de las matemática las habríamos denominado a-priori sólo porque ostentan un mayor grado de estabilidad (son parte del lecho del río, no de la corriente), incluso algunos aspectos de la física (como ya vio Kant al hablar del a-priori de la mecánica racional) parecerían formar parte del “lecho” no de la corriente. ¿Se tratará entonces de un a-priori histórico, como del que hablará Foucault? ¿O podríamos hablar de un a-priori funcional?. El análisis detallado de todas las consecuencias de ésta nueva concepción del a-priori nos llevaría demasiado lejos, y, por lo pronto, dejaremos planteado el problema. Sin embargo, haremos dos anotaciones: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10)El esquema por lo que ahora pregunta Wittgenstein encaja en la nueva episteme (S. XIX y XX) que Foucault caracteriza por la “historia”. “A partir del siglo XIX la historia va a desplegar en una serie temporal las analogías que relacionan unas con otras a las organizaciones distintas. Es esta historia la que, progresivamente, impondrá sus leyes al análisis de la producción, al de los seres organizados y, por último, al de los grupos lingüísticos. La historia da lugar a las organizaciones analógicas, así como el orden (Mathesis) abrió el camino de las entidades y las diferencias sucesivas (44). Tal vez haya que agregar que las lógicas y las matemáticas quedaban todavía refractarias al reconocimiento de su historicidad; es lo que ha hecho Wittgenstein con lo que Pears ha denominado interpretación antropológica.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11)En la misma dirección histórica apunta la noción de “paradigma” de Kuhn, en efecto, ésta noción implica un modelo o patrón históricamente determinado, previo a las reglas y las leyes científicas; es más bien el marco en el que ellas son pensadas y que permanece más o menos indiscutible para un determinado periodo de la historia, mientras no surjan anomalías que lo hagan estallar (45). Del mismo modo, la tesis de Sthepan Toulmin sobre las “poblaciones conceptuales” tiene análogo sentido histórico (46). La conceptualización del saber no se realizará ya a partir de un modelo “sub specie aeternitatis”. Jano Bifronte habría ganado terreno antes insospechados.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Corolario: Del isomorfismo del Tractatus no queda nada. Ello es consecuencia del abandono de las dos implicaciones fundamentales de la metáfora de la figura: el descripcionismo y el formalismo. Si la “representación” no es lo que constituye esencialmente al lenguaje, no tiene sentido preguntarse por su correspondencia con las cosas que representa. El significado no es la adecuación de la figura con lo figurado. El significado es el uso que en la red de semejanzas las palabras hacen aparecer en el “interior” del discurso.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2.3. Crítica del Atomismo.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Indagar de lo complejo a lo simple y de lo simple a lo complejo, en base al postulado de la existencia de lo simple, tal era el atomismo implicado en la metáfora de la figura. La crítica al atomismo no es menos obvia que la relacionada con el descripcionismo y el formalismo.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hablar de hechos como un “complejo de objetos” tiene su origen en ésta confusión (Tractatus lógico – Philosóphicus). Supongamos que preguntásemos “¿Cómo se puede imaginar lo que no existe?”. La respuesta puede ser: “Si lo hacemos, imaginamos combinaciones no existentes de elementos existentes”. Un centauro no existe, pero existen cabezas, y torsos, y brazos de hombres, y patas de caballo. “Pero ¿no podemos imaginar un objeto completamente diferente de cualquier objeto existente?. Nos inclinaríamos a responder: “No, los elementos, los individuos tienen que existir. Si no existiese la rojez, la redondez, y la dulzura, no podríamos imaginarlas”. (BBB, p. 60).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inferimos la existencia de lo simple a partir de lo complejo, por una necesidad teórica, no por una constatación empírica. En lugar de la inferencia de la simplicidad Wittgenstein pasará a la idea de los “sistemas” de proposiciones, de enunciados, etc. Explicamos el concepto “sistémico” de verdad. Veamos: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“Toda verificación, toda confirmación e información de una hipótesis tiene un lugar dentro de un sistema... El sistema no es tanto el punto de partida, como el elemento donde los argumentos tienen vida”. (U.G. N° 105).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que me parece obvio no son simples axiomas, es un sistema donde las consecuencias y las premisas se prestan apoyo mutuamente”. (Ib. N° 142).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“Aquello que afirmo no es una proposición sino un engranaje de proposiciones” (Ib. N° 225).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“Nuestro conocimiento forma un enorme sistema. Y sólo dentro de este sistema un fragmento particular tiene el valor </w:t>
            </w:r>
            <w:r w:rsidRPr="001B7F27">
              <w:rPr>
                <w:rFonts w:ascii="Arial" w:eastAsia="Times New Roman" w:hAnsi="Arial" w:cs="Arial"/>
                <w:color w:val="003399"/>
                <w:sz w:val="17"/>
                <w:szCs w:val="17"/>
                <w:lang w:eastAsia="es-AR"/>
              </w:rPr>
              <w:lastRenderedPageBreak/>
              <w:t>que le asignamos” (Ib. N° 410).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Ya no es posible establecer la verdad o falsedad de proposiciones aisladas de todo contexto. Ya Pierre Duhem había señalado que un experimento científico no puede refutar o probar una determinada ley científica, sino que lo que se aprueba o cuestiona son siempre sistemas.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Ahora bien, no pensamos que Wittgenstein haya pasado a la concepción holística de la verdad, como lo afirma Pears (47), pues entre ésta y la teoría sistémica hay diferencias sustanciales. La teoría analítica afirma la posibilidad de establecer la verdad o falsedad de proposiciones aisladas, por separado. La teoría holística sostiene que ninguna verdad tiene sentido sino el proceso total del conocimiento humano; el conocimiento de una verdad particular implicaría el conocimiento del universo. No pensamos que sea ésta la nueva versión que Wittgenstein nos propone. La versión sistémica sólo sostiene que las verdades forman grupos, poblaciones, sistemas, y que sólo dentro de un tal sistema puede establecerse su verdad o falsedad. Pensamos, por ej. En la geometría euclídea, en la mecánica newtoniana, etc. Éste concepto de verdad se ajusta, por tanto, mejor a la práctica científica.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II. – LA FILOSOFÍA COMO CRÍTICA DEL LENGUAJE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Tal vez uno de los aspectos más constantes entre los dos periodos de la obra de Wittgenstein sea su concepto de la filosofía como crítica del lenguaje. Aunque haya matices diferentes, la finalidad terapéutica del análisis del lenguaje se manifestó siempre a través de toda su obra.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Tractatus afirma: “Toda la filosofía es una crítica del lenguaje” (TLP, 4.0031). “El objeto de la filosofía es una aclaración lógica del pensamiento”. “La filosofía no es una teoría, sino una actividad”. “Una obra filosófica consiste esencialmente en elucidaciones”. (TLP, 4.112).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énfasis metodológico está en el análisis lógico del lenguaje, en descubrir la forma lógica real de las proposiciones, la cual coincide con su forma aparente. (TLP, 4.0032).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elucidación del lenguaje debe llevarnos a la aceptación de lo que se manifieste claramente, y al silencio de lo que no se exprese con claridad. En este sentido, la solución de los problemas filosóficos es su disolución. He ahí el símil de la escalera, debemos abandonarla una vez usada; así ha de ser el método elucidatorio. También es este sentido debe interpretarse la significación del Tractatus “mis proposiciones son esclarecedoras de éste modo; que quien me comprenda acaba por reconocer que carecen de sentido, siempre que el que comprenda haya salido a través de ellas fuera de ellas” (Debe pues, por así decirlo, tirar la escalera después de haber subido). (TLP, 6.54).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su segundo periodo, la crítica del lenguaje sigue siendo terapéutica y la actividad filosófica un método analítico, no una teoría ni un sistema.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descubrimiento real es el que me vuelve capaz de dejar de hacer filosofía cuando yo quiera. El que da paz a la filosofía, de manera que ya no esté atormentada por cuestiones que la ponen a ella misma en cuestión... No hay un método filosófico aunque en verdad hayan diferentes métodos, como diferentes terapias”. (P.U. N° 133).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en otro lugar: “Es erróneo decir que en filosofía consideramos un lenguaje ideal como opuesto a nuestro lenguaje ordinario. Pues esto hace que parezca como si pensásemos que podríamos perfeccionar el lenguaje ordinario. Pero el lenguaje ordinario está perfectamente”. (BBB, p. 57).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metáfora de los juegos lingüísticos sugiere la idea de una actividad guiada por “reglas”. Pero las reglas del lenguaje no tienen una univocidad de las que son inherentes a la lógica y a las matemáticas. Carecemos de reglas fijas, unívocas, precisas con las cuales podamos determinar cómo han de ser usadas las palabras, frases y expresiones. La solución de los problemas filosóficos dependen del análisis y penetración en los abusos y mal entendidos de la lógica del lenguaje. La extensión de un concepto “no está cerrado por una frontera” (P.U. N° 68). “No conocemos los límites porque no se ha trazado ninguno”. (Ib. N° 69). “La aplicación de una palabra no está limitada por dondequiera por reglas” (Ib. N° 84). La única regla que ahora interesa es su “uso”. “Cada vez que los filósofos usan palabras como “conocimiento”, “esencia”, “yo”, intentando aprehender la “esencia” de la cosa, hay que preguntarse: ¿acaso se usa esa palabra realmente en el lenguaje en el que tiene su hogar?. Retrotraemos las palabras de su uso metafísico a su uso cotidiano. (P.U. N° 116).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Ya hemos insistido en la función descriptiva – no explicativa – del método (o métodos) filosófico (s). Aunque el énfasis no está ya en el análisis lógico del lenguaje, sigue siendo verdad su empeño en descubrir el mal uso de la gramática, de las confusiones nacidas del empleo incorrecto de la forma gramatical. “¿Cuáles son los constituyentes últimos de la materia?. (Es una típica pregunta metafísica, ya que la característica de una pregunta metafísica es que expresamos una falta de claridad respecto a la gramática de las palabras bajo la forma de una pregunta científica”. (BBB, p. 63).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Hablando acerca de la ética dice en el Tractatus: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El significado del mundo debe estar fuera del mundo. En el mundo todo es como es, todo sucede de la manera en que sucede; no hay valor en ello – y si lo hubiera no tendría valor alguno-. Si hay un valor que tiene valor, debe estar fuera de todo lo que sucede y fuera de ser de éste o de aquel modo. Porque todo suceder o ser de este modo o de aquel modo es accidental. Aquello que lo convierte en no-accidental no puede encontrarse en el mundo, porque si así fuera, esta cosa a su vez sería accidental”. (6.41)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Igualmente: “Dios no se revela en el mundo”. (TLP, 6.432). A propósito del primer texto, se nos viene a la mente la idea de Kierkegaard según la cual hemos de desesperar de todo valor mundano a fin de poder encontrar valor absoluto. Pears hace referencia a un cierto influjo del filósofo danés en la idea del misticismo wittgensteiniano (48).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otra parte, acerca del bien y el mal “querer” nos dice que el mundo es “independiente de mi voluntad”, es decir, la acción en el sentido ético es independiente de lo que acaece. De ahí que “la voluntad”, como el Yo o sujeto metafísico estén entre las ideas trascendentales el Tractatus. Estos trascendentales son tales porque no forman parte del mundo, no forman parte de lo que acaece, o del ser de éste o de aquel modo. En cambio, se hallan por así decirlo, en los límites del mundo. Anscombe explica “la idea de la voluntad como independiente de lo que acaece” del siguiente modo: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contraste con Schopenhauer, así como su afinidad, es interesante.</w:t>
            </w:r>
            <w:r w:rsidRPr="001B7F27">
              <w:rPr>
                <w:rFonts w:ascii="Arial" w:eastAsia="Times New Roman" w:hAnsi="Arial" w:cs="Arial"/>
                <w:color w:val="003399"/>
                <w:sz w:val="17"/>
                <w:szCs w:val="17"/>
                <w:lang w:eastAsia="es-AR"/>
              </w:rPr>
              <w:br/>
              <w:t xml:space="preserve">Schopenhauer pensó que “el mundo es mi voluntad” y que la única redención posible de la voluntad es “darse vuelta y negarse libremente a sí misma”. Wittgenstein pensaba que el mundo es bueno e independiente de mi voluntad; la buena o mala voluntad (el bien o mal querer) son actitudes hacia el mundo como totalidad. La bondad del mundo, sin embargo, no es algo en cómo es, sino en el hecho desnudo de que sea, y está completamente fuera de que sea de éste o de aquel modo particular. El buen querer, por lo tanto, no se preocupará de cómo son las cosas, y en éste sentido es como la buena voluntad de Schopenhauer. (49)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actitud hacia el mundo como totalidad, como un todo limitado es lo “místico”, el mundo se percibe, entonces, en su accidentalidad (cfr. texto citado 6.41). Pero justo en la percepción de su accidentalidad se muestra su “bondad” originaria: “el puro hecho de ser”, no el que esto o aquello sea bueno. Esta posición del Tractatus fue explicitada más tarde en una Conferencia de ética por el propio Wittgenstein en un significativo texto: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quiero fijar mi mente en lo que quiero decir cuando hablo de un valor ético o absoluto, siempre sucede que alguna experiencia en particular se me presenta y es, por lo tanto, en un sentido, mi experience par excellence... y el mejor modo de describirla es diciendo que cuando la tengo me maravillo de la existencia del mundo” (50)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podría negarse que textos como los anteriores son claramente metafísicos, afirman algo de la totalidad del mundo, de su accidentalidad, de la admiración ante el puro hecho de ser, de la actitud contemplativa hacia esa totalidad, etc. Son relámpagos de luz que el autor hace brillar sobre lo que “no puede decirse” porque cualquier cosa que digamos es un barrunto. Todo lo cual comprueba la tesis de Pears acerca de la similitud con la posición kantiana. Lo que no tolera el austriaco es hacer de la metafísica una ciencia, un lenguaje claro y distinto, pues por ese camino no se llega a ninguna parte “sólo se cae en pensamientos harto confusos”. Recordemos la expresión ya citada: es necesario retrotraer las palabras de su confusión metafísica a su uso cotidiano. La metafísica “embruja” las palabras, su terapia consiste en ponerlas nuevamente en su uso ordinario.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como ha señalado Pears certeramente (51), la verdadera intención de Wittgenstein no es ajena a la de Kant:</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“Tuve que anular el saber, para reservar sitio a la fe; y el dogmatismo de la metafísica, es decir, el prejuicio del que puede avanzarse en metafísica, sin crítica de la razón pura, es la verdadera fuente de todo descreimiento opuesto a la moralidad, que siempre es muy dogmático”. (52)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Pears habla del paralelogramo de fuerzas en que el filósofo austriaco se mueve: por un lado quiere evitar la absorción por parte de la ciencia de disciplinas como la ética, la estética, o una explicación científica de la religión; pero por otro lado, se niega a dar un estatuto racional a estas disciplinas; tal vez porque piense que el aceptar tal estatuto es una manera de integrarlas a los modelos científicos, lo que equivaldría al primer segmento. En palabras de Pears: “Se trata de una resistencia al impacto y a la influencia de la ciencia, cuyas interferencias sobre otros ámbitos del pensamiento había que impedir, según él. Esa resistencia, que era una característica evidente de la primera filosofía, prosigue de manera diferente en el segundo periodo” (53). De ahí que rechace la consideración pretendidamente científica de la religión y la moral, y que acepte los ideales religiosos como creencias cuyo valor depende de su significación para nuestra existencia humana. Así, pues, su rechazo de la metafísica parecería tener el tono del rechazo kantiano: la imposibilidad de la metafísica como ciencia; lo que no excluye la aceptación de la religión y de la moral; con la diferencia de que Kant aceptó una metafísica desde la razón práctica, y Wittgenstein no la acepta desde ningún punto de vista. En este sentido, como señala igualmente Pears, su pretendida defensa de la religión no lleva a ninguna parte. Éste autor distingue entre un positivismo destructor contra el cual se opone decididamente Wittgenstein, cuyo ideal absorbente trataría de explicar científicamente toda forma de pensamiento </w:t>
            </w:r>
            <w:r w:rsidRPr="001B7F27">
              <w:rPr>
                <w:rFonts w:ascii="Arial" w:eastAsia="Times New Roman" w:hAnsi="Arial" w:cs="Arial"/>
                <w:color w:val="003399"/>
                <w:sz w:val="17"/>
                <w:szCs w:val="17"/>
                <w:lang w:eastAsia="es-AR"/>
              </w:rPr>
              <w:lastRenderedPageBreak/>
              <w:t>incluyendo la moral y la religión. Y un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“positivismo sutil que reconoce que todas las categorías del discurso son significativas, pero considera que algunas de ellas tienen elementos que parecen tener necesidad de ser justificados y si no se proporciona esta justificación, la significación de la misma no parecerá convincente para la mayoría de los interlocutores. Rechaza, sin embargo, toda posibilidad de justificación por medio de apelaciones a realidades exteriores al área del lenguaje a que pertenece; y afirma, por otra parte, que todas las justificaciones necesarias deben hallarse en el área, en el ámbito de los hechos lingüísticos” (54)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positivismo sutil sigue apelando a los hechos como único criterio; pero, puesto que las creencias religiosas y morales no son hipótesis fácticas, no han de tratarse mediante el método que tratamos tales hipótesis (el método científico). Puede verse, pues, la intención wittgensteiniana desde el principio de su obra: Mantener los límites de legitimidad del discurso científico – fáctico y no tratar de inmiscuirlo en las disciplinas que no son fácticas, pues su efecto sería destructor.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Hemos presentado el pensamiento de Wittgenstein en sus dos periodos. El primero está dominado por la metáfora de la figura. Esta implica: el isomorfismo entre la figura y lo figurado, el formalismo de las relaciones internas de la figura, el descripcionismo de no aceptar más que los aspectos descriptivos del lenguaje y el atomismo, al entender el método analítico como una reducción de lo complejo a lo simple y de lo simple a lo complejo.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Insistimos en una ubicación histórica de la teoría del lenguaje que nos propone el autor del Tractatus. Se vio su herencia racionalista en cuanto búsqueda de un ideal de Mathesis Universal. Empero, el rechazo de la duplicidad de la representación, es decir, de la posibilidad de hablar de un lenguaje por medio de un nivel superior del lenguaje, implicó a nuestro modo de ver, el comienzo de un salto más allá del formalismo; pues significó su severa limitación.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Concluimos nuestro trabajo con una referencia al concepto Wittgensteiniano de filosofía. Éste permaneció siempre pensado como “crítica del lenguaje”. En la versión del Tractatus como elucidación lógica de la forma real de las proposiciones. En su versión posterior como análisis terapéutico con el fin de desenmascarar el mal uso de la gramática, rechazando así la metafísica como debida a confusiones gramaticales, a falta de claridad en el lenguaje que se usa. Finalizamos con una breve referencia al pensamiento no descriptivo: la ética, la estética y la religión. La posición de Wittgenstein, según afirmación de Pears, parece cercana a la de Kant, pues también él intenta limitar las pretensiones absorbentes de la ciencia a explicar dichas áreas del pensamiento de acuerdo con los mismos patrones científicos. Las creencias de la religión, de la moral inciden en la existencia humana, pero no son hipótesis fácticas y por tanto no deben tratarse como tales. Si para Kant la metafísica no era posible como ciencia, para Wittgenstein no es posible como un lenguaje que tenga su propia claridad; cada juego lingüístico tiene sus reglas, sus propios criterios; pero el lenguaje metafísico consistirá en la violación de las reglas de los distintos juegos lingüísticos. Sin embargo, como pudimos apreciar con toda nitidez, hay en Wittgenstein lo que podríamos denominar una “actitud metafísica” que, aunque no quiere manifestarse explícitamente, sin embargo, se deja traslucir inequívocamente. Ello es más que claro en afirmaciones tales como: la accidentalidad del mundo, la bondad que reluce en la pura actitud contemplativa de la voluntad frente al “hecho de ser”, la absolutez del valor, que, sin embargo, no se da en este mundo e incluso en el silencio expectante ante la “totalidad” que allí se evidencia como limitada.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SIGLAS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TLP : Tractatus Lógico – Philosóphicus (1922).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P.U. : Philosophische Untersuchungen (1953).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B.B.B. : The Blue and Brown Book (1971).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U.G. : Uber Gewissheit (1971).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12)Wittgenstein, Ludwig: Tractatus lógico – philosophicus, Alianza editorial, Madrid, 1973.</w:t>
            </w:r>
            <w:r w:rsidRPr="001B7F27">
              <w:rPr>
                <w:rFonts w:ascii="Arial" w:eastAsia="Times New Roman" w:hAnsi="Arial" w:cs="Arial"/>
                <w:color w:val="003399"/>
                <w:sz w:val="17"/>
                <w:szCs w:val="17"/>
                <w:lang w:eastAsia="es-AR"/>
              </w:rPr>
              <w:br/>
              <w:t>13)Wittgenstein, Ludwig: Philosophical Investigations, Basil Blackwell, Oxford, 1963.</w:t>
            </w:r>
            <w:r w:rsidRPr="001B7F27">
              <w:rPr>
                <w:rFonts w:ascii="Arial" w:eastAsia="Times New Roman" w:hAnsi="Arial" w:cs="Arial"/>
                <w:color w:val="003399"/>
                <w:sz w:val="17"/>
                <w:szCs w:val="17"/>
                <w:lang w:eastAsia="es-AR"/>
              </w:rPr>
              <w:br/>
              <w:t>14)Wittgenstein, Ludwig: Cuadernos azul y marrón, Tecnos, Madrid, 1976, Reimpresión.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15)Wittgenstein, Ludwig: Sobre la certidumbre, Ed. Tiempo Nuevo, Buenos Aires, 1972.</w:t>
            </w:r>
            <w:r w:rsidRPr="001B7F27">
              <w:rPr>
                <w:rFonts w:ascii="Arial" w:eastAsia="Times New Roman" w:hAnsi="Arial" w:cs="Arial"/>
                <w:color w:val="003399"/>
                <w:sz w:val="17"/>
                <w:szCs w:val="17"/>
                <w:lang w:eastAsia="es-AR"/>
              </w:rPr>
              <w:br/>
              <w:t>16)Wittgenstein, Ludwig: Estética, Psicoanálisis y Religión, Sudamericana, 1976.</w:t>
            </w:r>
            <w:r w:rsidRPr="001B7F27">
              <w:rPr>
                <w:rFonts w:ascii="Arial" w:eastAsia="Times New Roman" w:hAnsi="Arial" w:cs="Arial"/>
                <w:color w:val="003399"/>
                <w:sz w:val="17"/>
                <w:szCs w:val="17"/>
                <w:lang w:eastAsia="es-AR"/>
              </w:rPr>
              <w:br/>
              <w:t>17)Wittgenstein, Ludwig: Conferencias sobre ética, Pardos, 1976.</w:t>
            </w:r>
            <w:r w:rsidRPr="001B7F27">
              <w:rPr>
                <w:rFonts w:ascii="Arial" w:eastAsia="Times New Roman" w:hAnsi="Arial" w:cs="Arial"/>
                <w:color w:val="003399"/>
                <w:sz w:val="17"/>
                <w:szCs w:val="17"/>
                <w:lang w:eastAsia="es-AR"/>
              </w:rPr>
              <w:br/>
              <w:t>18)Anscombe, G.E.M.: Introducción al “Tractatus” de Wittgenstein, El Ateneo, Buenos Aires, 1977.</w:t>
            </w:r>
            <w:r w:rsidRPr="001B7F27">
              <w:rPr>
                <w:rFonts w:ascii="Arial" w:eastAsia="Times New Roman" w:hAnsi="Arial" w:cs="Arial"/>
                <w:color w:val="003399"/>
                <w:sz w:val="17"/>
                <w:szCs w:val="17"/>
                <w:lang w:eastAsia="es-AR"/>
              </w:rPr>
              <w:br/>
              <w:t>19)Foucault, Michael: Las palabras y las cosas, Siglo XXI Ed., México, 1971, 3ª ed.</w:t>
            </w:r>
            <w:r w:rsidRPr="001B7F27">
              <w:rPr>
                <w:rFonts w:ascii="Arial" w:eastAsia="Times New Roman" w:hAnsi="Arial" w:cs="Arial"/>
                <w:color w:val="003399"/>
                <w:sz w:val="17"/>
                <w:szCs w:val="17"/>
                <w:lang w:eastAsia="es-AR"/>
              </w:rPr>
              <w:br/>
              <w:t>20)Harnack, Justus: Ludwig Wittgenstein y la filosofía contemporánea, Ariel, Barcelona, 1972.</w:t>
            </w:r>
            <w:r w:rsidRPr="001B7F27">
              <w:rPr>
                <w:rFonts w:ascii="Arial" w:eastAsia="Times New Roman" w:hAnsi="Arial" w:cs="Arial"/>
                <w:color w:val="003399"/>
                <w:sz w:val="17"/>
                <w:szCs w:val="17"/>
                <w:lang w:eastAsia="es-AR"/>
              </w:rPr>
              <w:br/>
              <w:t>21)Kant Inmanuel: Crítica de la razón pura, Editora Nacional, México, 1973, Reimpresión.</w:t>
            </w:r>
            <w:r w:rsidRPr="001B7F27">
              <w:rPr>
                <w:rFonts w:ascii="Arial" w:eastAsia="Times New Roman" w:hAnsi="Arial" w:cs="Arial"/>
                <w:color w:val="003399"/>
                <w:sz w:val="17"/>
                <w:szCs w:val="17"/>
                <w:lang w:eastAsia="es-AR"/>
              </w:rPr>
              <w:br/>
              <w:t>22)Kuhn, Thomas: Las estructura de las revoluciones científicas, Fondo de Cultura Económica, México, 1971.</w:t>
            </w:r>
            <w:r w:rsidRPr="001B7F27">
              <w:rPr>
                <w:rFonts w:ascii="Arial" w:eastAsia="Times New Roman" w:hAnsi="Arial" w:cs="Arial"/>
                <w:color w:val="003399"/>
                <w:sz w:val="17"/>
                <w:szCs w:val="17"/>
                <w:lang w:eastAsia="es-AR"/>
              </w:rPr>
              <w:br/>
              <w:t>23)Mundle, C.W.K.: Una crítica de la Filosofía lingüística, Fondo de Cultura Económica, México, 1995.</w:t>
            </w:r>
            <w:r w:rsidRPr="001B7F27">
              <w:rPr>
                <w:rFonts w:ascii="Arial" w:eastAsia="Times New Roman" w:hAnsi="Arial" w:cs="Arial"/>
                <w:color w:val="003399"/>
                <w:sz w:val="17"/>
                <w:szCs w:val="17"/>
                <w:lang w:eastAsia="es-AR"/>
              </w:rPr>
              <w:br/>
              <w:t>24)Pears, David: Wittgenstein, Grijalbo, Barcelona – México, 1973.</w:t>
            </w:r>
            <w:r w:rsidRPr="001B7F27">
              <w:rPr>
                <w:rFonts w:ascii="Arial" w:eastAsia="Times New Roman" w:hAnsi="Arial" w:cs="Arial"/>
                <w:color w:val="003399"/>
                <w:sz w:val="17"/>
                <w:szCs w:val="17"/>
                <w:lang w:eastAsia="es-AR"/>
              </w:rPr>
              <w:br/>
              <w:t>25)Russell, Bertrand: Exposición crítica de la Filosofía de Leibniz, Ediciones Siglo Veinte, Buenos Aires, 1977.</w:t>
            </w:r>
            <w:r w:rsidRPr="001B7F27">
              <w:rPr>
                <w:rFonts w:ascii="Arial" w:eastAsia="Times New Roman" w:hAnsi="Arial" w:cs="Arial"/>
                <w:color w:val="003399"/>
                <w:sz w:val="17"/>
                <w:szCs w:val="17"/>
                <w:lang w:eastAsia="es-AR"/>
              </w:rPr>
              <w:br/>
              <w:t>26)Russell, Bertrand: Lógica y conocimiento, Taurus, Madrid, 1966.</w:t>
            </w:r>
            <w:r w:rsidRPr="001B7F27">
              <w:rPr>
                <w:rFonts w:ascii="Arial" w:eastAsia="Times New Roman" w:hAnsi="Arial" w:cs="Arial"/>
                <w:color w:val="003399"/>
                <w:sz w:val="17"/>
                <w:szCs w:val="17"/>
                <w:lang w:eastAsia="es-AR"/>
              </w:rPr>
              <w:br/>
              <w:t>27)Toulmin, Stephan: La comprensión humana, Alianza editorial, Madrid, 1997.</w:t>
            </w:r>
            <w:r w:rsidRPr="001B7F27">
              <w:rPr>
                <w:rFonts w:ascii="Arial" w:eastAsia="Times New Roman" w:hAnsi="Arial" w:cs="Arial"/>
                <w:color w:val="003399"/>
                <w:sz w:val="17"/>
                <w:szCs w:val="17"/>
                <w:lang w:eastAsia="es-AR"/>
              </w:rPr>
              <w:br/>
              <w:t>28)Reguera, Isidoro: El feliz absurdo de la ética. El Wittgenstein místico, Tecnos, 1997.</w:t>
            </w:r>
            <w:r w:rsidRPr="001B7F27">
              <w:rPr>
                <w:rFonts w:ascii="Arial" w:eastAsia="Times New Roman" w:hAnsi="Arial" w:cs="Arial"/>
                <w:color w:val="003399"/>
                <w:sz w:val="17"/>
                <w:szCs w:val="17"/>
                <w:lang w:eastAsia="es-AR"/>
              </w:rPr>
              <w:br/>
              <w:t>29)Mource, H.O.: Introducción al Tractatus de Wittgenstein, Tecnos, 1996.</w:t>
            </w:r>
            <w:r w:rsidRPr="001B7F27">
              <w:rPr>
                <w:rFonts w:ascii="Arial" w:eastAsia="Times New Roman" w:hAnsi="Arial" w:cs="Arial"/>
                <w:color w:val="003399"/>
                <w:sz w:val="17"/>
                <w:szCs w:val="17"/>
                <w:lang w:eastAsia="es-AR"/>
              </w:rPr>
              <w:br/>
              <w:t>30)Kenny, Anthony: Wittgenstein, Alianza, 1972.</w:t>
            </w:r>
            <w:r w:rsidRPr="001B7F27">
              <w:rPr>
                <w:rFonts w:ascii="Arial" w:eastAsia="Times New Roman" w:hAnsi="Arial" w:cs="Arial"/>
                <w:color w:val="003399"/>
                <w:sz w:val="17"/>
                <w:szCs w:val="17"/>
                <w:lang w:eastAsia="es-AR"/>
              </w:rPr>
              <w:br/>
              <w:t xml:space="preserve">31)Lecourt, Dominique: L’ Ordre et les jeux, Bernard Grasset, París, 1995.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36"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 w:name="2"/>
            <w:bookmarkEnd w:id="2"/>
            <w:r w:rsidRPr="001B7F27">
              <w:rPr>
                <w:rFonts w:ascii="Arial" w:eastAsia="Times New Roman" w:hAnsi="Arial" w:cs="Arial"/>
                <w:b/>
                <w:bCs/>
                <w:color w:val="009933"/>
                <w:sz w:val="20"/>
                <w:szCs w:val="20"/>
                <w:lang w:eastAsia="es-AR"/>
              </w:rPr>
              <w:t>" La Propiedad Privada"</w:t>
            </w:r>
            <w:r w:rsidRPr="001B7F27">
              <w:rPr>
                <w:rFonts w:ascii="Arial" w:eastAsia="Times New Roman" w:hAnsi="Arial" w:cs="Arial"/>
                <w:color w:val="003399"/>
                <w:sz w:val="17"/>
                <w:szCs w:val="17"/>
                <w:lang w:eastAsia="es-AR"/>
              </w:rPr>
              <w:br/>
              <w:t>Juan Farina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Filosofía del Derecho, Deontología Jurídica</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37"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INTRODUCCION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ha sido pretexto por tiempos inmemoriales de argumentos que sustentaron conquistas, guerras, ideologías, pensamientos, culturas de poder, como también es sinónimo de dominación mundial y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Tal vez en nuestros días las características de los hechos y consecuencias pudieron haber sufrido cambios superficiales, pues la propiedad de las cosas intangibles (Ej. conocimientos científicos y tecnológicos) han adquirido un equilibrio en importancia a las cosas tangibles. Consecuencia inmediata de esta situación es la aparición de potencias económicas mundiales que sustentaron su construcción en la adquisición y desarrollo de la tecnología, estas potencias compiten en el liderazgo mundial con la potencia ubicada en ese lugar por su poder de fuego y capacidad armamentista.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Revolución Francesa (finales del siglo XVIII) como punto de partida para la humanización de la propiedad, dio un vuelco muy brusco al sustraer al hombre en la conformación de la hacienda de otro hombre. También al enarbolar los principios de libertad-fraternidad-igualdad enfrentó al señorío, el feudalismo y la explotación del hombre amparada por la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mediados del siglo XIX la aplicación despiadada del liberalismo-capitalista basado en dejar hacer - dejar pasar fue el responsable de lo que se dio en llamar la Era industrial, donde se marcó al propietario con la opulencia, y al que es sólo el dueño de su trabajo se le marcó con la hambruna y la marginación.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Del seno de los trabajadores nace el comunismo, enfrentando radicalmente las condiciones de la época. La Iglesia Católica propone medidas a través de su primera encíclica social la RERUM NOVARUM, y se contrapone a las ideas comunistas.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Las características del derecho a la propiedad - exclusiva, perpetua y absoluta - no han sufrido grandes variaciones dentro de nuestro mundo capitalista, occidental y cristiano. Salvo las restricciones del desarrollo jurídico y la postura de la doctrina social de la iglesia para que, por una parte, la propiedad se convierta en una herramienta contra el atraso y, por otra parte, para que nuestros legisladores declarados cristianos confesos legislen como tales; la propiedad se ha convertido en un elemento estadístico que muestra el grado de inequidad social de nuestros pueblos.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Hablando de inequidad, según el trabajo del sociólogo y abogado José Nicolás Morínigo encomendado por el Comité de Iglesias, años atrás, encontró que en nuestro país el 85% de tierras se hallan bajo el dominio del 1% de la población.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EN EL CAPITALISMO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capitalismo la propiedad de producción no está diferenciada. Existe un solo tipo de propiedad.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sistema la connotación jurídica de la propiedad es argumentada por sus difusores y detentadores como una expresión no solo económica, sino mas bien de valores éticos humanistas y de protección contra el poder estatal.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propiedad privada es un compromiso entre nuestro deseo de libertad irrestricta y el reconocimiento de que otros tienen deseos y derechos similares. Es una forma de ser libre y, sin embargo permanecer seguro de la libertad de los demás'- Extracto de -The Nobles of triumphs, de Tom Bethell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Según ellos la desigualdad creada por un régimen de propiedad privada tiene una conexión directamente proporcional con la justicia y la responsabilidad, pues sólo en ella las personas pueden responder por sus acciones económicas, solo en ella se puede experimentar las consecuencias de una conducta.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Enlazan la propiedad con la prosperidad por varias razones: sólo en ellas se puede justipreciar lo que se tiene y disponer de ellas cuando sea oportuno; sólo los bienes privados se pueden intercambiar con facilidad en los mercados; los resultados del uso de la propiedad alcanzan mayor éxito,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privada con sus caracteres de exclusividad, absoluta y perpetua -con las restricciones obligadas para el uso de la propiedad privada y su disfrute como renta - es la piedra angular del sistema capitalista desde el punto de vista jurídico, económico y cultural, conjuntamente con la división del trabajo que deriva de otro elemento económico (tierra-trabajo-capital).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Existen nuevas restricciones a la propiedad ajena en el sistema, ellas nacen por la fuerza de la doctrina social de la Iglesia, las asociaciones ecologistas y las organizaciones sociales. Estas connotaciones jurídicas de actualización al derecho real del capitalismo, como la hipoteca social que grava la propiedad -que sostiene la doctrina social de la Iglesia -, penas privativas de libertad a los responsables del uso de la propiedad en degradación del medio ambiente; se encuentran insertándose en las legislaciones, pero la aplicación de estas medidas requieren un proceso para romper con la cultura anterior arraigada.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se puede desconocer que el leseferismo ha producido un avance vertiginoso en la modernización en todas las disciplinas en el mundo; soo que ella se cimentó en una explotación vergonzante que produjo un ejercito de marginales y profundas inequidades sociales (especialmente en la era industrial). Sin embargo entidades con mucha credibilidad, como la Iglesia Católica por ejemplo, señalan al perfil de propiedad de este sistema y sus consecuencias (acaparamiento, especulación, emular el mercado con Dios, etc.) como la causa principal para introducir en ella el sentido de justicia social en la filosofía jurídica de la propiedad.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Seguidamente, como se ve, la propiedad en las Constituciones de América Latina: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ARGENTINA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14.- Todos los habitantes de la Nación gozan de los siguientes derechos conforme a las leyes que reglamenten su ejercicio, a saber:...de usar y disponer de su propiedad;...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17.- La propiedad es inviolable, y ningún habitante de la Nación puede ser privado de ella, sino en virtud de sentencia fundada en ley. La expropiación por causa de utilidad publica, debe ser calificada por ley y previamente indemnizada...La confiscación de bienes queda borrada para siempre del Código Penal argentino. Ningún cuerpo armado puede hacer requisiciones, ni exigir auxilios de ninguna especie.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BOLIVIA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7.- Toda persona tiene los siguientes derechos fundamentales, conforme a las leyes que reglamenten su ejercicio: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 A la propiedad privada, individual o colectivamente, siempre que cumpla una función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20.- Son inviolables la correspondencia y los papeles privados, los cuales no podrán ser incautados sino en los casos determinados por las leyes y en virtud de orden escrita y motivada de autoridad competente. No producen efecto legal los documentos privados que fueren violados o substraídos. </w:t>
            </w:r>
            <w:r w:rsidRPr="001B7F27">
              <w:rPr>
                <w:rFonts w:ascii="Arial" w:eastAsia="Times New Roman" w:hAnsi="Arial" w:cs="Arial"/>
                <w:color w:val="003399"/>
                <w:sz w:val="17"/>
                <w:szCs w:val="17"/>
                <w:lang w:eastAsia="es-AR"/>
              </w:rPr>
              <w:br/>
              <w:t xml:space="preserve">Ni la autoridad pública, ni persona u organismo alguno podrán interceptar conversaciones y comunicaciones privadas mediante instalación que las controle o centralice.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22.- Se garantiza la propiedad privada siempre que el uso que se haga de ella no sea perjudicial al interés colectivo.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expropiación se impone por causa de utilidad pública o cuando la propiedad no cumple una función social, calificada conforme a ley y previa indemnización justa.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23.- Jamás se aplicará la confiscación de bienes como castigo político.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28.- Los bienes de la Iglesia, de las órdenes y congregaciones religiosas y de las instituciones que ejercen labor educativa, de asistencia y de beneficencia, gozan de los mismos derechos y garantías que los pertenecientes a los particulares.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CHILE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19.- La Constitución asegura a todas las personas: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7. El derecho a la libertad personal y a la seguridad individual. </w:t>
            </w:r>
            <w:r w:rsidRPr="001B7F27">
              <w:rPr>
                <w:rFonts w:ascii="Arial" w:eastAsia="Times New Roman" w:hAnsi="Arial" w:cs="Arial"/>
                <w:color w:val="003399"/>
                <w:sz w:val="17"/>
                <w:szCs w:val="17"/>
                <w:lang w:eastAsia="es-AR"/>
              </w:rPr>
              <w:br/>
              <w:t xml:space="preserve">En consecuencia: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g. No podrá imponerse la pena de confiscación de bienes, sin perjuicio del comiso en los casos establecidos por las leyes; pero dicha pena será procedente respecto de las asociaciones ilícitas; ...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23. La libertad para adquirir el dominio de toda clase de bienes, excepto aquellos que la naturaleza ha hecho comunes a todos los hombres o que deban pertenecer a la Nación toda y la ley lo declare así. Lo anterior es sin perjuicio de lo prescrito en otros preceptos de esta Constitución.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Una ley de quórum calificado y cuando así lo exija el interés nacional puede establecer limitaciones o requisitos para la adquisición del dominio de algunos bienes;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24. El derecho de propiedad en sus diversas especies sobre toda clase de bienes corporales o incorporales. </w:t>
            </w:r>
            <w:r w:rsidRPr="001B7F27">
              <w:rPr>
                <w:rFonts w:ascii="Arial" w:eastAsia="Times New Roman" w:hAnsi="Arial" w:cs="Arial"/>
                <w:color w:val="003399"/>
                <w:sz w:val="17"/>
                <w:szCs w:val="17"/>
                <w:lang w:eastAsia="es-AR"/>
              </w:rPr>
              <w:br/>
              <w:t xml:space="preserve">Sólo la ley puede establecer el modo de adquirir la propiedad, de usar, gozar y disponer de ella y las limitaciones y obligaciones que deriven de su función social. Esta comprende cuanto exijan los intereses generales de la Nación, la seguridad nacional, la utilidad y la salubridad públicas y la conservación del patrimonio ambiental.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Nadie puede, en caso alguno, ser privado de su propiedad, del bien sobre que recae o de algunos de los atributos o facultades esenciales del dominio, sino en virtud de ley general o especial que autorice la expropiación por causa de utilidad pública o de interés nacional, calificada por el legislador. El expropiado podrá reclamar de la legalidad del acto expropiatorio ante los tribunales ordinarios y tendrá siempre derecho a indemnización por el daño patrimonial efectivamente causado, la que se fijará de común acuerdo o en sentencia dictada conforme a derecho por dichos tribunales.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falta de acuerdo, la indemnización deberá ser pagada en dinero efectivo al contado.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toma de posesión material del bien expropiado tendrá lugar previo pago del total de la indemnización, la que, a falta de acuerdo, será determinada provisionalmente por peritos en la forma que señale la ley. En caso de reclamo acerca de la procedencia de la expropiación, el juez podrá, con el mérito de los antecedentes que se invoquen, decretar la suspensión de la toma de posesión...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COLOMBIA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34.- Se prohíben las penas de destierro, prisión perpetua y confiscación.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obstante, por sentencia judicial se declarará extinguido el dominio sobre bienes adquiridos en perjuicio del tesoro </w:t>
            </w:r>
            <w:r w:rsidRPr="001B7F27">
              <w:rPr>
                <w:rFonts w:ascii="Arial" w:eastAsia="Times New Roman" w:hAnsi="Arial" w:cs="Arial"/>
                <w:color w:val="003399"/>
                <w:sz w:val="17"/>
                <w:szCs w:val="17"/>
                <w:lang w:eastAsia="es-AR"/>
              </w:rPr>
              <w:lastRenderedPageBreak/>
              <w:t xml:space="preserve">público o con grave deterioro de la moral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58.- Se garantizan la propiedad privada y los demás derechos adquiridos con arreglo a las leyes civiles, los cuales no pueden ser desconocidos ni vulnerados por leyes posteriores. Cuando de la aplicación de una ley expedida por motivo de utilidad pública o interés social, resultaren en conflicto los derechos de los particulares con la necesidad por ellos reconocida, el interés privado deberá ceder al interés público o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propiedad es una función social que implica obligaciones. Como tal, les es inherente una función ecológica.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Estado protegerá y promoverá las formas asociativas y solidarias de propiedad.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motivos de utilidad pública o de interés social definidos por el legislador, podrá haber expropiación mediante sentencia judicial e indemnización previa. Esta se fijará consultado los intereses de la comunidad y del afectado. En los casos que determine el legislador, dicha expropiación podrá adelantarse por vía administrativa, sujeta a posterior acción contenciosa administrativa, incluso respecto del precio.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todo, el legislador, por razones de equidad, podrá determinar los casos en que no haya lugar al pago de indemnización, mediante el voto favorable de la mayoría absoluta de los miembros de una y otra Cámara. Las razones de equidad, así como los motivos de utilidad pública o de interés social, invocados por el legislador, no serán controvertibles judicialmente.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59.- En caso de guerra y sólo para atender a sus requerimientos, la necesidad de una expropiación podrá ser decretada por el Gobierno Nacional sin previa indemnización.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expresado caso, la propiedad inmueble sólo podrá ser temporalmente ocupada, para atender a las necesidades de la guerra, o para destinar a ella sus productos.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Estado será siempre responsable por las expropiaciones que el Gobierno haga por sí o por medio de sus agentes.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COSTA RICA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45.- La propiedad es inviolable; a nadie puede privarse de la suya si no es por interés público legalmente comprobado, previa indemnización conforme a la ley. En caso de guerra o conmoción interior, no es indispensable que la indemnización sea previa. Sin embargo, el pago correspondiente se hará a más tardar dos años después de concluido el estado de emergencia.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motivos de necesidad pública podrá la Asamblea Legislativa, mediante el voto de los dos tercios de la totalidad de sus miembros, imponer a la propiedad limitaciones de interés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CUBA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24.- El Estado reconoce el derecho de herencia sobre la vivienda de dominio propio y demás bienes de propiedad personal. La tierra y los demás bienes vinculados a la producción que integran la propiedad de los agricultores pequeños son heredables y solo se adjudican a aquellos herederos que trabajan la tierra, salvo las excepciones y según el procedimiento que establece la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ley fija los casos, las condiciones y la forma en que los bienes de propiedad cooperativa podrán ser heredables.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25.- Se autoriza la expropiación de bienes, por razones de utilidad publica o interés social y con la debida indemnización. La ley establece el procedimiento para la expropiación y las bases para la determinar su utilidad y necesidad, así como la forma de indemnización, considerando los intereses y las necesidades económicas y sociales del expropiado.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60.- La confiscación de bienes se aplica solo como sanción por las autoridades, en los casos y por los procedimientos que determina la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ECUADOR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23.- Sin perjuicio de los derechos establecidos en esta Constitución y en los instrumentos internacionales vigentes, el Estado reconocerá y garantizará a las personas los siguientes: 23) El derecho a la propiedad, en los términos que señala la ley. ...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30.- La propiedad, en cualquiera de sus formas y mientras cumpla su función social, constituye un derecho que el Estado reconocerá y garantizará para la organización de la economía.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Deberá procurar el incremento y la redistribución del ingreso, y permitir el acceso de la población a los beneficios de </w:t>
            </w:r>
            <w:r w:rsidRPr="001B7F27">
              <w:rPr>
                <w:rFonts w:ascii="Arial" w:eastAsia="Times New Roman" w:hAnsi="Arial" w:cs="Arial"/>
                <w:color w:val="003399"/>
                <w:sz w:val="17"/>
                <w:szCs w:val="17"/>
                <w:lang w:eastAsia="es-AR"/>
              </w:rPr>
              <w:lastRenderedPageBreak/>
              <w:t xml:space="preserve">la riqueza y el desarrollo. ...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MÉXICO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27.- ... Las expropiaciones solo podrán hacerse por causa de utilidad pública y mediante indemnización. 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dictaran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selvicultura y de las demás actividades económicas en el medio rural, y para evitar la destrucción de los elementos naturales y los daños que la propiedad pueda sufrir en perjuicio de la sociedad. ...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 Las leyes de la federación y de los estados en sus respectivas jurisdicciones, determinaran los casos en que sea de utilidad pública la ocupación de la propiedad privada, y de acuerdo con dichas leyes la autoridad administrativa hará la declaración correspondiente. El precio que se fijara como indemnización a la cosa expropiada, se basara en la cantidad que como valor fiscal de ella figure en las oficinas catastrales o recaudadoras, ya sea que este valor haya sido manifestado por el propietario o simplemente aceptado por el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observara cuando se trate de objetos cuyo valor no este fijado en las oficinas rentísticas. El ejercicio de las acciones que corresponden a la nación, por virtud de las disposiciones del presente Artículo, se hará efectivo por el procedimiento judicial; pero dentro de este procedimiento y por orden de los tribunales correspondientes, que se dictara en el plazo máximo de un mes, las autoridades administrativas procederán desde luego a la ocupación, administración, remate o venta de las tierras o aguas de que se trate y todas sus accesiones, sin que en ningún caso pueda revocarse lo hecho por las mismas autoridades antes que se dicte sentencia ejecutoriada;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NICARAGUA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5. ... Las diferentes formas de propiedad: pública, privada, asociativa, cooperativa y comunitaria deberán ser garantizadas y estimuladas sin discriminación para producir riquezas, y todas ellas dentro de su libre funcionamiento deberán cumplir una función social. ...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44.- Se garantiza el derecho de propiedad privada de los bienes muebles e inmuebles, de los instrumentos y medios de producción.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virtud de la función social de la propiedad, este derecho está sujeto, por causa de utilidad pública o de interés social, a las limitaciones y obligaciones que en cuanto a su ejercicio le impongan las leyes. Los bienes inmuebles mencionados en el párrafo primero pueden ser objeto de expropiación de acuerdo a la ley, previo pago en efectivo de justa indemnización.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Tratándose de la expropiación de latifundios incultivados, para fines de reforma agraria, la ley determinará la forma, cuantificación, plazos de pagos e intereses que se reconozcan en concepto de indemnización.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prohíbe la confiscación de bienes. Los funcionarios que infrinjan esta disposición, responderán con sus bienes en todo tiempo por los daños inferidos.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PANAMÁ</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44.- Se garantiza la propiedad privada adquirida con arreglo a la Ley por personas jurídicas o naturales.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45.- La propiedad privada implica obligación para su dueño por razón de la función social que debe llenar.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motivos de utilidad pública o de interés social definidos en la Ley, puede haber expropiación mediante juicio especial e indemnización.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46.- Cuando de la aplicación de una ley expedida por motivos de utilidad o de interés social resultaren en conflicto los derechos de particulares con la necesidad reconocida por la misma ley, el interés privado deberá ceder al interés del público o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Artículo 47.- En caso de guerra, de grave perturbación del orden público o de interés social urgente, que exijan medidas rápidas, el Ejecutivo puede decretar la expropiación u ocupación de la propiedad privada.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Cuando fuese factible la devolución del objeto ocupado, la ocupación solo será por el tiempo que duren las circunstancias que la hubieren causado.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Estado es siempre responsable por toda expropiación que así lleve a cabo el ejecutivo y por los daños y perjuicios causados por la ocupación, y pagará su valor cuando haya cesado el motivo determinante de la expropiación u ocupación.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48.- Nadie está obligado a pagar contribución ni impuesto, que no estuvieren legalmente establecidos y cuya cobranza no se hiciere en la forma prescrita por las leyes.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20.- DEL OBJETO DE LAS PENAS ... Quedan proscritas la pena de confiscación de bienes y la de destierro.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109.- DE LA PROPIEDAD PRIVADA. Se garantiza la propiedad privada, cuyo contenido y límites serán establecidos por la ley, atendiendo a su función económica y social, a fin de hacerla accesible para todos.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propiedad privada es inviolable.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Nadie puede ser privado de su propiedad sino en virtud de sentencia judicial, pero se admite la expropiación por causa de utilidad pública o de interés social, que será determinada en cada caso por ley. Esta garantizará el previo pago de una justa indemnización, establecida convencionalmente o por sentencia judicial, salvo los latifundios improductivos destinados a la reforma agraria, conforme con el procedimiento para las expropiaciones a establecerse por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PERÚ</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 Toda persona tiene su derecho: 16) A la propiedad y a la herencia....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70.- El derecho de propiedad es inviolable. El Estado lo garantiza. Se ejerce en armonía con el bien común dentro de los límites de ley. A nadie puede privarse de su propiedad sin exclusivamente, por causa de seguridad nacional o necesidad pública, declarada por ley, y previo pago en efectivo de indemnización justipreciada que incluya compensación por el eventual perjuicio. Hay acción ante el poder Judicial para contestar el valor de la propiedad que el Estado haya señalado en el procedimiento expropiatorio.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71.- En cuanto a la propiedad, los extranjeros, sean personas naturales o jurídicas, están en la misma condición que los Peruanos, sin que, en caso alguno, puedan invocar excepción ni protección diplomática.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dentro de cincuenta kilómetros de las fronteras, los extranjeros no pueden adquirir mi poseer, por título alguno, minas, tierras, bosques, aguas, combustibles ni fuentes de energía, directa ni indirectamente, individualmente ni en la sociedad, bajo pena de perder, en beneficio del Estado, el derecho así adquirido. Se exceptúa el caso de necesidad pública expresamente declarada por decreto supremo aprobado por el Consejo de Ministros conforme a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72.- La ley puede, sólo por razón de seguridad nacional, establecer temporalmente restricciones y prohibiciones específicas para la adquisición, posesión, explotación y transferencia de determinados bienes. </w:t>
            </w:r>
            <w:r w:rsidRPr="001B7F27">
              <w:rPr>
                <w:rFonts w:ascii="Arial" w:eastAsia="Times New Roman" w:hAnsi="Arial" w:cs="Arial"/>
                <w:color w:val="003399"/>
                <w:sz w:val="17"/>
                <w:szCs w:val="17"/>
                <w:lang w:eastAsia="es-AR"/>
              </w:rPr>
              <w:br/>
              <w:t xml:space="preserve">Artículo 73.- Los bienes de dominio público son inalienables e imprescriptibles. Los bienes de uso público pueden ser concedidos a particulares conforme a ley, para su aprovechamiento económico.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REPÚBLICA DOMINICANA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8.- Se reconoce como finalidad principal del Estado la protección efectiva de los derechos de la persona humana y el mantenimiento de los medios que le permitan perfeccionarse progresivamente dentro de un orden de libertad individual y de justicia social, compatible con el orden público, el bienestar general y los derechos de todos. Para garantizar la realización de esos fines se fijan las siguientes normas: 13) El derecho de propiedad. En consecuencia, nadie puede ser privado de ella sino por causa justificada de utilidad pública o de interés social, previo pago de su justo valor determinado por sentencia de tribunal competente. En casos de calamidad pública, la indemnización podrá no ser previa. No podrá imponerse la pena de confiscación general de bienes por razones de orden político.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1.Se declara de interés social la dedicación de la tierra a fines útiles y la eliminación gradual del latifundio. Se destinan a los planes de la Reforma Agraria las tierras que pertenezcan al Estado o las que éste adquiera de grado a grado o por expropiación, en la forma prescrita por esta Constitución, que no estén destinadas o deban destinarse </w:t>
            </w:r>
            <w:r w:rsidRPr="001B7F27">
              <w:rPr>
                <w:rFonts w:ascii="Arial" w:eastAsia="Times New Roman" w:hAnsi="Arial" w:cs="Arial"/>
                <w:color w:val="003399"/>
                <w:sz w:val="17"/>
                <w:szCs w:val="17"/>
                <w:lang w:eastAsia="es-AR"/>
              </w:rPr>
              <w:lastRenderedPageBreak/>
              <w:t xml:space="preserve">por el Estado a otros fines de interés general. Se declara igualmente como un objetivo principal de la política social del Estado el estímulo y cooperación para integrar efectivamente a la vida nacional la población campesina, mediante la renovación de los métodos de la producción agrícola y la capacitación cultural y tecnológica del hombre campesino.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2.El Estado podrá convertir sus empresas en propiedades de cooperación o economía cooperativista.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UNITED STATES OF AMERICA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Amendment V.- Garantías jurídicas.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URUGUAY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14.- No podrá imponerse la pena de confiscación de bienes por razones de carácter político.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Artículo 32.- La propiedad es un derecho inviolable, pero sujeto a lo que dispongan las leyes que se establecieron por razones de interés general. Nadie podrá ser privado de su derecho de propiedad sino en los casos de necesidad o utilidad públicas establecidos por una ley y recibiendo siempre del Tesoro Nacional una justa y previa compensación.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Cuando se declare la expropiación por causa de necesidad o utilidad públicas, se indemnizará a los propietarios por los daños y perjuicios que sufrieron en razón de la duración del procedimiento expropiatorio, se consume o no la expropiación; incluso los que deriven de las variaciones en el valor de la moneda.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231. La ley dictada por mayoría absoluta del total de componentes de cada Cámara podrá disponer expropiaciones correspondientes a planes y programas de desarrollo económico, propuestas por el Poder Ejecutivo, mediante una justa indemnización y conforme a las normas del artículo 32.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232. Dicha indemnización podrá no ser previa, pero en ese caso la ley deberá establecer expresamente los recursos necesarios para asegurar su pago total en el término establecido, que nunca superará los diez años; la entidad expropiante no podrá tomar posesión del bien sin antes haber pagado efectivamente por lo menos la cuarta parte del total de la indemnización.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pequeños propietarios, cuyas características determinará la ley, recibirán siempre el total de la indemnización previamente a la toma de posesión del bien.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VENEZUELA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115.- Se garantiza el derecho de propiedad. Toda persona tiene derecho al uso, goce, disfrute y disposición de sus bienes. La propiedad estará sometida a las contribuciones, restricciones y obligaciones que establezca la ley con fines de utilidad pública o de interés general. Sólo por causa de utilidad pública o interés social, mediante sentencia firme y pago oportuno de justa indemnización, podrá ser declarada la expropiación de cualquier clase de bienes.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Artículo 116.- No se decretarán ni ejecutarán confiscaciones de bienes sino en los casos permitidos por esta Constitución. Por vía de excepción podrán ser objeto de confiscación, mediante sentencia firme, los bienes de personas naturales o jurídicas, nacionales o extranjeras, responsables de delitos cometidos contra el patrimonio público, los bienes de quienes se hayan enriquecido ilícitamente al amparo del Poder Público y los bienes provenientes de las actividades comerciales, financieras o cualesquiera otras vinculadas al tráfico ilícito de sustancias psicotrópicas y estupefacientes.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PROPIEDADAD Y LA DOCTRINA SOCIAL DE LA IGLESIA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siglo XIX la inexistencia de regulación en las relaciones laborales, unidos a la inmensa legión de desposeídos es decir no propietarios, produjeron a un costo muy bajo mercaderías destinadas a abastecer los mercados mundiales inalcanzables antes por la distancia. La aparición de grandes mercados mundiales y su abastecimientos, en el marco de un sistema jurídico que desconocía el equilibrio, los limites y la dignidad humana, propiciaron grandes avances científicos y tecnológicos (la maquina a vapor, la imprenta, etc.), acarrearon también la instalación de tinglados donde eran hacinados hombres, mujeres y niños, que bajo la división del trabajo laboraban jornadas de 16 horas corridas por un precio que podía pagar casi solo alimentos para reponer las energías gastadas en la jornada anterior. Acarrearon también en las mayoritarias clases sociales la aparición de las enfermedades de los pobres como la tuberculosis, la sífilis, etc.. Por ultimo, el bien jurídico mas importante ha defender y preservar no era la vida, sino la propiedad.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Ante este holocausto de desposeídos, los pobres se organizan y diseñan teóricamente un mundo igualitario, en </w:t>
            </w:r>
            <w:r w:rsidRPr="001B7F27">
              <w:rPr>
                <w:rFonts w:ascii="Arial" w:eastAsia="Times New Roman" w:hAnsi="Arial" w:cs="Arial"/>
                <w:color w:val="003399"/>
                <w:sz w:val="17"/>
                <w:szCs w:val="17"/>
                <w:lang w:eastAsia="es-AR"/>
              </w:rPr>
              <w:lastRenderedPageBreak/>
              <w:t>donde no existe entre otras cosas la religiosidad del Estado, incluso se funda filosóficamente en la teoría que es la antítesis de la Filosofía Idealista, sustentadora de la fe.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respuesta a todo lo anterior nace la encíclica Papal que dio nacimiento a la Doctrina social de la Iglesia , durante el papado de León XIII, y expresa textualmente sobre la propiedad privada y el pensamiento obrero, de sus connotaciones ideológicas, sociales y jurídicas, lo siguiente: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 SOCIALISMO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Para remedio de este mal los Socialistas, después de excitar en los pobres el odio a los ricos, pretenden que es preciso acabar con la propiedad privada y sustituirla por la colectiva, en la que los bienes de cada uno sean comunes a todos, atendiendo a su conservación y distribución los que rigen el municipio o tienen el gobierno general del Estado. Pasados así los bienes de manos de los particulares a las de la comunidad y repartidos, por igual, los bienes y sus productos, entre todos los ciudadanos, creen ellos que pueden curar radicalmente el mal hoy día existente.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este su método para resolver la cuestión es tan poco a propósito para ello, que más bien no hace sino dañar a los mismos obreros; es, además, injusto por muchos títulos, pues conculca los derechos de los propietarios legítimos, altera la competencia y misión del Estado y trastorna por completo el orden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privada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Fácil es, en verdad, el comprender que la finalidad del trabajo y su intención próxima es, en el obrero, el procurarse las cosas que pueda poseer como suyas propias. Si él emplea sus fuerzas y su actividad en beneficio de otro, lo hace a fin de procurarse todo lo necesario para su alimentación y su vida; y por ello, mediante su trabajo, adquiere un verdadero y perfecto derecho no sólo de exigir su salario, sino también de emplear éste luego como quiera. Luego si gastando poco lograre ahorrar algo y, para mejor guardar lo ahorrado, lo colocare en adquirir una finca, es indudable que esta finca no es sino el mismo salario bajo otra especie; y, por lo tanto, la finca, así comprada por el obrero, debe ser tan suya propia como el salario ganado por su trabajo. Ahora bien: precisamente en esto consiste, como fácilmente entienden todos, el dominio de los bienes, sean muebles o inmuebles. Por lo tanto, al hacer común toda propiedad particular, los socialistas empeoran la condición de los obreros porque, al quitarles la libertad de emplear sus salarios como quisieren, por ello mismo les quitan el derecho y hasta la esperanza de aumentar el patrimonio doméstico y de mejorar con sus utilidades su propio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Pero lo más grave es que el remedio por ellos propuesto es una clara injusticia, porque la propiedad privada es un derecho natural del hombre. -Porque en esto es, en efecto, muy grande la diferencia entre el hombre y los brutos. Estos no se gobiernan a sí mismos, sino que les gobiernan y rigen dos instintos naturales: de una parte, mantienen en ellos despierta la facultad de obrar y desarrollan sus fuerzas oportunamente; y de otra, provocan y limitan cada uno de sus movimientos. Con un instinto atienden a su propia conservación, por el otro se inclinan a conservar la especie. Para conseguir los dos fines perfectamente les basta el uso de las cosas ya existentes, que están a su alcance; y no podrían ir más allá, porque se mueven sólo por el sentido y por las sensaciones particulares de las cosas. -Muy distinta es la naturaleza del hombre. En él se halla la plenitud de la vida sensitiva, y por ello puede, como los otros animales, gozar los bienes de la naturaleza material. Pero la naturaleza animal, aun poseída en toda perfección, dista tanto de circunscribir a la naturaleza humana, que le queda muy inferior y aun ha nacido para estarle sujeta y obedecerla. Lo que por antonomasia distingue al hombre, dándole el carácter de tal -y en lo que se diferencia completamente de los demás animales- es la inteligencia, esto es, la razón. Y precisamente porque el hombre es animal razonable, necesario es atribuirle no sólo el uso de los bienes presentes, que es común a todos los animales, sino también el usarlos estable y perpetuamente, ya se trate de las cosas que se consumen con el uso, ya de las que permanecen, aunque se usen.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bienes creados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Y todo esto resulta aun más evidente, cuando se estudia en sí y más profundamente la naturaleza humana. El hombre, pues, al abarcar con su inteligencia cosas innumerables, al unir y encadenar también las futuras con las presentes y al ser dueño de sus acciones, es -él mismo- quien bajo la ley eterna y bajo la providencia universal de Dios se gobierna a sí mismo con la providencia de su albedrío: por ello en su poder está el escoger lo que juzgare más conveniente para su propio bien, no sólo en el momento presente sino también para el futuro. De donde se exige que en el hombre ha de existir no sólo el dominio de los frutos de la tierra sino también la propiedad de la misma tierra, pues de su fertilidad ve cómo se le suministran las cosas necesarias para el porvenir. Las exigencias de cada hombre tienen, por decirlo así, un sucederse de vueltas perpetuas de tal modo que, satisfechas hoy, tornan mañana a aparecer imperiosas. Luego la naturaleza ha tenido que dar al hombre el derecho a bienes estables y perpetuos, que correspondan a la perpetuidad del socorro que necesita. Y semejantes bienes únicamente los puede suministrar la tierra con su inagotable fecundidad.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hay razón alguna para recurrir a la providencia del Estado; porque, siendo el hombre anterior al Estado, recibió aquél de la naturaleza el derecho de proveer a sí mismo, aun antes de que se constituyese la sociedad.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7. Pero el hecho de que Dios haya dado la tierra a todo el linaje humano, para usarla y disfrutarla, no se opone en modo alguno al derecho de la propiedad privada. Al decir que Dios concedió en común la tierra al linaje humano, no se quiere significar que todos los hombres tengan indistintamente dicho dominio, sino que, al no haber señalado a ninguno, en particular, su parte propia, dejó dicha delimitación a la propia actividad de los hombres y a la legislación de cada pueblo. -Por lo demás, la tierra, aunque esté dividida entre particulares, continúa sirviendo al beneficio de todos, pues nadie hay en el mundo que de aquélla no reciba su sustento. Quienes carecen de capital, lo suplen con su trabajo: y así, puede afirmarse la verdad de que el medio de proveer de lo necesario se halla en el trabajo empleado o en trabajar la propia finca o en el ejercicio de alguna actividad, cuyo salario -en último término- se saca de los múltiples frutos de la tierra o se permuta por ellos.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todo esto se deduce, una vez más, que la propiedad privada es indudablemente conforme a la naturaleza. Porque las cosas necesarias para la vida y para su perfección son ciertamente producidas por la tierra, con gran abundancia, pero a condición de que el hombre la cultive y la cuide con todo empeño. Ahora bien: cuando en preparar estos bienes materiales emplea el hombre la actividad de su inteligencia y las fuerzas de su cuerpo, por ello mismo se aplica a sí mismo aquella parte de la naturaleza material que cultivó y en la que dejó impresa como una figura de su propia persona: y así justamente el hombre puede reclamarla como suya, sin que en modo alguno pueda nadie violentar su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y las leyes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Es tan clara la fuerza de estos argumentos, que no se entiende cómo hayan podido contradecirlos quienes, resucitando viejas utopías, conceden ciertamente al hombre el uso de la tierra y de los frutos tan diversos de los campos; pero le niegan totalmente el dominio exclusivo del suelo donde haya edificado, o de la hacienda que haya cultivado. Y no se dan cuenta de que en esta forma defraudan al hombre de las cosas adquiridas con su trabajo. Porque un campo trabajado por la mano y la maña de un cultivador, ya no es el campo de antes: de silvestre, se hace fructífero; y de infecundo, feraz. De otra parte, las mejoras de tal modo se adaptan e identifican con aquel terreno, que la mayor parte de ellas son inseparables del mismo. Y si esto es así, ¿sería justo que alguien disfrutara aquello que no ha trabajado, y entrara a gozar sus frutos? Como los efectos siguen a su causa, así el fruto del trabajo en justicia pertenece a quienes trabajaron. Con razón, pues, todo el linaje humano, sin cuidarse de unos pocos contradictores, atento sólo a la ley de la naturaleza, en esta misma ley encuentra el fundamento de la división de los bienes y solemnemente, por la práctica de todos los tiempos, consagró la propiedad privada como muy conforme a la naturaleza humana, así como a la pacífica y tranquila convivencia social. - Y las leyes civiles que, cuando son justas, derivan de la misma ley natural su propia facultad y eficacia, confirman tal derecho y lo aseguran con la protección de su pública autoridad. - Todo ello se halla sancionado por la misma ley divina, que prohibe estrictamente aun el simple deseo de lo ajeno: No desearás la mujer de tu prójimo; ni la casa, ni el campo, ni la sierva, ni el buey, ni el asno, ni otra cosa cualquiera de todas las que le pertenecen[1].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Familia y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El derecho individual adquiere un valor mucho mayor, cuando lo consideramos en sus relaciones con los deberes humanos dentro de la sociedad doméstica. - No hay duda de que el hombre es completamente libre al elegir su propio estado: ora siguiendo el consejo evangélico de la virginidad, ora obligándose por el matrimonio. El derecho del matrimonio es natural y primario de cada hombre: y no hay ley humana alguna que en algún modo pueda restringir la finalidad principal del matrimonio, constituida ya desde el principio por la autoridad del mismo Dios: Creced y multiplicaos[2]. He aquí ya a la familia, o sociedad doméstica, sociedad muy pequeña en verdad, pero verdadera sociedad y anterior a la constitución de toda sociedad civil, y, por lo tanto, con derechos y deberes que de ningún modo dependen del Estado. Luego aquel derecho que demostramos ser natural, esto es, el del dominio individual de las cosas, necesariamente deberá aplicarse también al hombre como cabeza de familia; aun más, tal derecho es tanto mayor y más fuerte cuanto mayores notas comprende la personalidad humana en la sociedad doméstica.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10. Ley plenamente inviolable de la naturaleza es que todo padre de familia defienda, por la alimentación y todos los medios, a los hijos que engendrare; y asimismo la naturaleza misma le exige el que quiera adquirir y preparar para sus hijos, pues son imagen del padre y como continuación de su personalidad, los medios con que puedan defenderse honradamente de todas las miserias en el difícil curso de la vida. Pero esto no lo puede hacer de ningún otro modo que transmitiendo en herencia a los hijos la posesión de los bienes fructíferos.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la manera que la convivencia civil es una sociedad perfecta, también lo es - según ya dijimos- y del mismo modo la familia, la cual es regida por una potestad privativa, la paternal. Por lo tanto, respetados en verdad los límites de su propio fin, la familia tiene al menos iguales derechos que la sociedad civil, cuando se trata de procurarse y usar los bienes necesarios para su existencia y justa libertad. Dijimos al menos iguales: porque siendo la familia lógica e históricamente anterior a la sociedad civil, sus derechos y deberes son necesariamente anteriores y más naturales. Por lo tanto, si los ciudadanos o las familias, al formar parte de la sociedad civil, encontraran en el Estado dificultades en vez de auxilio, disminución de sus derechos en vez de tutela de los mismos, tal sociedad civil sería más de rechazar que de desear.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11. Es, por lo tanto, error grande y pernicioso pretender que el Estado haya de intervenir a su arbitrio hasta en lo más íntimo de las familias. - Ciertamente que si alguna familia se encontrase tal vez en tan extrema necesidad que por sus propios medios no pudiera salir de ella, es justa la intervención del poder público ante necesidad tan grave, porque cada una de las familias es una parte de la sociedad. Igualmente, si dentro del mismo hogar doméstico se produjera una grave perturbación de los derechos mutuos, el Estado puede intervenir para atribuir a cada uno su derecho; pero esto no es usurpar los derechos de los ciudadanos, sino asegurarlos y defenderlos con una protección justa y obligada. Pero aquí debe pararse el Estado: la naturaleza no consiente</w:t>
            </w:r>
            <w:r w:rsidRPr="001B7F27">
              <w:rPr>
                <w:rFonts w:ascii="Arial" w:eastAsia="Times New Roman" w:hAnsi="Arial" w:cs="Arial"/>
                <w:color w:val="003399"/>
                <w:sz w:val="17"/>
                <w:szCs w:val="17"/>
                <w:lang w:eastAsia="es-AR"/>
              </w:rPr>
              <w:br/>
              <w:t>el que vaya más allá. La patria potestad es de tal naturaleza, que no puede ser extinguida ni absorbida por el Estado, como derivada que es de la misma fuente que la vida de los hombres. Los hijos son como algo del padre, una extensión, en cierto modo, de su persona: y, si queremos hablar con propiedad, los hijos no entran a formar parte de la sociedad civil por sí mismos, sino a través de la familia, dentro de la cual han nacido. Y por esta misma razón de que los hijos son naturalmente algo del padre..., antes de que tengan el uso de su libre albedrío, están bajo los cuidados de los padres[3]. Luego cuando los socialistas sustituyen la providencia de los padres por la del Estado, van contra la justicia natural, y disuelven la trabazón misma de la sociedad doméstica.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Doctrina social de la Iglesia es partidaria de la propiedad privada, pero no absoluto e intocable. La Encíclica LABOREM EXCERSEN publicado durante por JUAN PABLO II, en homenaje a los 90 años de la RERUM NOVARUM, en 1981 lo dice mejor que yo,: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proceso histórico --presentado aquí brevemente-- que ciertamente ha salido de su fase inicial, pero que sigue en vigor, más aún que continúa extendiéndose a las relaciones entre las naciones y los continentes, exige una predicación también desde otro punto de vista. Es evidente que, cuando se habla de la antinomia entre trabajo y capital, no se trata sólo de conceptos abstractos o de « fuerzas anónimas »;, que actúan en la producción económica. Detrás de uno y otro concepto están los hombres, los hombres vivos, concretos; por una parte aquellos que realizan el trabajo sin ser propietarios de los medios de producción, y por otra aquellos que hacen de empresarios y son los propietarios de estos medios, o bien representan a los propietarios. Así pues, en el conjunto de este difícil proceso histórico, desde el principio está el problema de la propiedad. La Encíclica Rerum Novarum, que tiene como tema la cuestión social, pone el acento también sobre este problema, recordando y confirmando la doctrina de la Iglesia sobre la propiedad, sobre el derecho a la propiedad privada, incluso cuando se trata de los medios de producción. Lo mismo ha hecho la Encíclica Mater et Magistra.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citado principio, tal y como se recordó entonces y como todavía es enseñado por la Iglesia, se aparta radicalmente del programa del colectivismo, proclamado por el marxismo y realizado en diversos Países del mundo en los decenios siguientes a la época de la Encíclica de León XIII. Tal principio se diferencia al mismo tiempo, del programa del capitalismo, practicado por el liberalismo y por los sistemas políticos, que se refieren a él. En este segundo caso, la diferencia consiste en el modo de entender el derecho mismo de propiedad. La tradición cristiana no ha sostenido nunca este derecho como absoluto e intocable. Al contrario, siempre lo ha entendido en el contexto más amplio del derecho común de todos a usar los bienes de la entera creación: el derecho a la propiedad privada como subordinado al derecho al uso común, al destino universal de los bienes.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Además, la propiedad según la enseñanza de la Iglesia nunca se ha entendido de modo que pueda constituir un motivo de contraste social en el trabajo. Como ya se ha recordado anteriormente en este mismo texto, la propiedad se adquiere ante todo mediante el trabajo, para que ella sirva al trabajo. Esto se refiere de modo especial a la propiedad de los medios de producción. El considerarlos aisladamente como un conjunto de propiedades separadas con el fin de contraponerlos en la forma del « capital »; al «trabajo »;, y más aún realizar la explotación del trabajo, es contrario a la naturaleza misma de estos medios y de su posesión. Estos no pueden ser poseídos contra el trabajo, no pueden ser ni siquiera poseídos para poseer, porque el único título legítimo para su posesión --y esto ya sea en la forma de la propiedad privada, ya sea en la de la propiedad pública o colectiva-- es que sirvan al trabajo; consiguientemente que, sirviendo al trabajo, hagan posible la realización del primer principio de aquel orden, que es el destino universal de los bienes y el derecho a su uso común. Desde ese punto de vista, pues, en consideración del trabajo humano y del acceso común a los bienes destinados al hombre, tampoco conviene excluir la socialización, en las condiciones oportunas, de ciertos medios de producción. En el espacio de los decenios que nos separan de la publicación de la Encíclica Rerum Novarum, la enseñanza de la Iglesia siempre ha recordado todos estos principios, refiriéndose a los argumentos formulados en la tradición mucho más antigua, por ejemplo, los conocidos argumentos de la Summa Theologiae de Santo Tomás de Aquino.[22]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documento, cuyo tema principal es el trabajo humano, es conveniente corroborar todo el esfuerzo a través del cual la enseñanza de la Iglesia acerca de la propiedad ha tratado y sigue tratando de asegurar la primacía del trabajo y, por lo mismo, la subjetividad del hombre en la vida social, especialmente en la estructura dinámica de todo el proceso económico. Desde esta perspectiva, sigue siendo inaceptable la postura del « rígido »; capitalismo, que defiende el derecho exclusivo a la propiedad privada de los medios de producción, como un « dogma »; intocable en la vida económica. El principio del respeto del trabajo, exige que este derecho se someta a una revisión constructiva en la teoría y en la práctica. En efecto, si es verdad que el capital, al igual que el conjunto de los medios de producción, constituye a su vez el producto del trabajo de generaciones, entonces no es menos verdad que ese capital se crea incesantemente gracias al trabajo llevado a cabo con la ayuda de ese mismo conjunto de medios de </w:t>
            </w:r>
            <w:r w:rsidRPr="001B7F27">
              <w:rPr>
                <w:rFonts w:ascii="Arial" w:eastAsia="Times New Roman" w:hAnsi="Arial" w:cs="Arial"/>
                <w:color w:val="003399"/>
                <w:sz w:val="17"/>
                <w:szCs w:val="17"/>
                <w:lang w:eastAsia="es-AR"/>
              </w:rPr>
              <w:lastRenderedPageBreak/>
              <w:t>producción, que aparecen como un gran lugar de trabajo en el que, día a día, pone su empeño la presente generación de trabajadores. Se trata aquí, obviamente, de las distintas clases de trabajo, no solo del llamado trabajo manual, sino también del múltiple trabajo intelectual, desde el de planificación al de dirección. Bajo esta luz adquieren un significado de relieve particular las numerosas propuestas hechas por expertos en la doctrina social católica y también por el Supremo Magisterio de la Iglesia.[23] Son propuestas que se refieren a la copropiedad de los medios de trabajo, a la participación de los trabajadores en la gestión y o en los beneficios de la empresa, al llamado « accionariado »; del trabajo y otras semejantes. Independientemente de la posibilidad de aplicación concreta de estas diversas propuestas, sigue siendo evidente que el reconocimiento de la justa posición del trabajo y del hombre del trabajo dentro del proceso productivo exige varias adaptaciones en el ámbito del mismo derecho a la propiedad de los medios de producción; y esto teniendo en cuenta no sólo situaciones más antiguas, sino también y ante todo la realidad y la problemática que se ha ido creando en la segunda mitad de este siglo, en lo que concierne al llamado Tercer Mundo y a los distintos nuevos Países independientes que han surgido, de manera especial pero no únicamente en África, en lugar de los territorios coloniales de otros tiempos.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consiguiente, si la posición del « rígido »; capitalismo debe ser sometida continuamente a revisión con vistas a una reforma bajo el aspecto de los derechos del hombre, entendidos en el sentido más amplio y en conexión con su trabajo, entonces se debe afirmar, bajo el mismo punto de vista, que estas múltiples y tan deseadas reformas no pueden llevarse a cabo mediante la eliminación apriorística de la propiedad privada de los medios de producción. En efecto, hay que tener presente que la simple substracción de esos medios de producción (el capital) de las manos de sus propietarios privados, no es suficiente para socializarlos de modo satisfactorio. Los medios de producción dejan de ser propiedad de un determinado grupo social, o sea de propietarios privados, para pasar a ser propiedad de la sociedad organizada, quedando sometidos a la administración y al control directo de otro grupo de personas, es decir, de aquellas que, aunque no tengan su propiedad por más que ejerzan el poder dentro de la sociedad, disponen de ellos a escala de la entera economía nacional, o bien de la economía local.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Este grupo dirigente y responsable puede cumplir su cometido de manera satisfactoria desde el punto de vista de la primacía del trabajo; pero puede cumplirlo mal, reivindicando para sí al mismo tiempo el monopolio de la administración y disposición de los medios de producción, y no dando marcha atrás ni siquiera ante la ofensa a los derechos fundamentales del hombre. Así pues, el mero paso de los medios de producción a propiedad del Estado, dentro del sistema colectivista, no equivale ciertamente a la « socialización »; de esta propiedad. Se puede hablar de socialización únicamente cuando quede asegurada la subjetividad de la sociedad, es decir, cuando toda persona, basándose en su propio trabajo, tenga pleno título a considerarse al mismo tiempo « copropietario »; de esa especie de gran taller de trabajo en el que se compromete con todos. Un camino para conseguir esa meta podría ser la de asociar, en cuanto sea posible, el trabajo a la propiedad del capital y dar vida a una rica gama de cuerpos intermedios con finalidades económicas, sociales, culturales: cuerpos que gocen de una autonomía efectiva respecto a los poderes públicos, que persigan sus objetivos específicos manteniendo relaciones de colaboración leal y mutua, con subordinación a las exigencias del bien común y que ofrezcan forma y naturaleza de comunidades vivas; es decir, que los miembros respectivos sean considerados y tratados como personas y sean estimulados a tomar parte activa en la vida de dichas comunidades.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conclusión del pensamiento de la Doctrina Social de la Iglesia extractamos lo siguiente: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UNA MEJOR DISTRIBUCION DE LA TIERRA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reto de la reforma agraria</w:t>
            </w:r>
            <w:r w:rsidRPr="001B7F27">
              <w:rPr>
                <w:rFonts w:ascii="Arial" w:eastAsia="Times New Roman" w:hAnsi="Arial" w:cs="Arial"/>
                <w:color w:val="003399"/>
                <w:sz w:val="17"/>
                <w:szCs w:val="17"/>
                <w:lang w:eastAsia="es-AR"/>
              </w:rPr>
              <w:br/>
              <w:t xml:space="preserve">Documento del PONTIFICIO CONSEJO «JUSTICIA Y PAZ» </w:t>
            </w:r>
            <w:r w:rsidRPr="001B7F27">
              <w:rPr>
                <w:rFonts w:ascii="Arial" w:eastAsia="Times New Roman" w:hAnsi="Arial" w:cs="Arial"/>
                <w:color w:val="003399"/>
                <w:sz w:val="17"/>
                <w:szCs w:val="17"/>
                <w:lang w:eastAsia="es-AR"/>
              </w:rPr>
              <w:br/>
              <w:t>23 noviembre 1997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PRESENTACIÓN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presente documento, «Para una mejor distribución de la tierra. El reto de la reforma agraria», se propone solicitar, a todos los niveles, una fuerte toma de conciencia de los dramáticos problemas humanos, sociales y éticos que desencadena el fenómeno de la concentración y de la apropiación indebida de la tierra.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trata de problemas que golpean en su dignidad a millones de seres humanos y privan de una perspectiva de paz a nuestro mundo.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Frente a situaciones marcadas por tanta y tan inaceptable injusticia, el Consejo Pontificio «Justicia y Paz» ha pensado ofrecer este documento para la reflexión y la orientación, haciéndose intérprete de una doble solicitud, la proveniente de los pobres y la proveniente de los pastores: pronunciar, con evangélica franqueza, una palabra sobre las situaciones escandalosas, presentes en casi todos los continentes, respecto a la propiedad y el uso de la tierra.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Consejo Pontificio, sirviéndose del rico patrimonio de sabiduría acumulada en la doctrina social de la Iglesia, ha considerado suyo el improrrogable deber de llamar la atención de todos, especialmente de los responsables políticos y económicos, a emprender apropiadas reformas en el campo agrario para iniciar una época de crecimiento y desarrollo.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No se debe dejar transcurrir el tiempo en vano. El Gran Jubileo del año 2000, proclamado por el Santo Padre Juan Pablo II para conmemorar al Único Salvador, Jesucristo, es una llamada alta y comprometedora a una conversión, también en el plano social y político, que restablezca el derecho de los pobres y los excluidos a gozar de la tierra y de sus bienes que el Señor ha dado para todos y cada uno de sus hijos e hijas.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PROBLEMAS VINCULADOS CON LA CONCENTRACION </w:t>
            </w:r>
            <w:r w:rsidRPr="001B7F27">
              <w:rPr>
                <w:rFonts w:ascii="Arial" w:eastAsia="Times New Roman" w:hAnsi="Arial" w:cs="Arial"/>
                <w:color w:val="003399"/>
                <w:sz w:val="17"/>
                <w:szCs w:val="17"/>
                <w:lang w:eastAsia="es-AR"/>
              </w:rPr>
              <w:br/>
              <w:t>DE LA PROPIEDAD DE LA TIERRA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hipoteca del pasado en la situación actual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4. La estructura agrícola de los países en vías de desarrollo se caracteriza a menudo por una distribución de tipo dual. Un pequeño número de latifundistas posee la mayoría de las tierras cultivables, mientras que una multitud de pequeñísimos propietarios, arrendatarios y colonos cultiva el resto de las tierras, que a menudo son de peor calidad. El latifundio es característico hoy del régimen de la tierra de casi todos estos países [4].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proceso de concentración de la propiedad de la tierra tiene orígenes históricos diferentes, que varían de una región a otra. Hay que decir, por el gran interés que tiene para nuestra reflexión, que en las áreas que fueron sometidas a la dominación colonial la concentración de las tierras en grandes fundos se ha producido sobre todo a partir de la segunda mitad del siglo pasado, mediante la progresiva apropiación privada de la tierra, secundada por leyes que han introducido graves distorsiones en el mercado de las tierras [5].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apropiación privada de la tierra no ha comportado solamente la creación y consolidación de los latifundios, sino también la atomización de las pequeñas propiedades.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pequeño agricultor [6] podía, en el mejor de los casos, adquirir una pequeña superficie de tierra para cultivarla con su familia. Cuando ésta aumentaba, él no estaba en condiciones de ampliar su propiedad, a no ser que estuviera dispuesto a trasladarse con su familia hacia tierra menos fértiles y más lejanas, que requerían más trabajo por cada unidad de producción.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ponían, de esta forma, las bases de una ulterior fragmentación de la que ya era una pequeña superficie de tierra poseída y, por lo tanto, del empobrecimiento del cultivador y su familia.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5. En los últimos decenios la situación no ha cambiado de forma sustancial; es más, en muchos casos ha ido empeorando progresivamente, aunque la realidad demuestre el impacto negativo que tiene en el crecimiento económico y en el desarrollo social [7].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origen de esta situación está la interacción de una serie de fenómenos graves que, a pesar de las peculiaridades nacionales, poseen características muy parecidas entre los diferentes países.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caminos del desarrollo económico recorridos por los diferentes países en vías de desarrollo en los últimos decenios han favorecido el proceso de concentración de la propiedad de la tierra. En general, este proceso parece ser la consecuencia de las medidas de política económica y de los vínculos estructurales inmutables a corto plazo, y el causante de costes económicos, sociales y medioambientales.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EVALUACIÓN CRÍTICA DE LAS MEDIDAS DE POLÍTICA ECONÓMICA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industrialización a expensas de la agricultura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6. Para modernizar de forma rápida las economías nacionales, muchos países en vías de desarrollo se han basado sobre todo en la convicción, a menudo no justificada, de que la industrialización rápida puede mejorar el bienestar económico general aunque tenga lugar a expensas de la agricultura.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Estos países han tomado, por lo tanto, medidas de protección de las producciones industriales internas y de manipulación de los tipos de cambio de las monedas nacionales en desventaja de la agricultura; medidas de sostenimiento del poder adquisitivo de las poblaciones urbanas basadas en el control de los precios de los productos alimenticios; o bien otras medidas que, al alterar el mecanismo de distribución de los mercados, han producido un empeoramiento de las condiciones de cambio de la producción agrícola con respecto a la producción industrial.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consiguiente caída de las rentas agrícolas ha afectado duramente a los pequeños productores, hasta el punto que muchos de ellos han abandonado la agricultura. Todo esto ha favorecido el proceso de concentración de la propiedad de la tierra.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exportaciones agrícolas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9. En muchos países en vías de desarrollo, también las modalidades con las que las políticas agrícolas se han </w:t>
            </w:r>
            <w:r w:rsidRPr="001B7F27">
              <w:rPr>
                <w:rFonts w:ascii="Arial" w:eastAsia="Times New Roman" w:hAnsi="Arial" w:cs="Arial"/>
                <w:color w:val="003399"/>
                <w:sz w:val="17"/>
                <w:szCs w:val="17"/>
                <w:lang w:eastAsia="es-AR"/>
              </w:rPr>
              <w:lastRenderedPageBreak/>
              <w:t xml:space="preserve">encargado de la exportación de los productos agrícolas han favorecido el proceso de concentración de la propiedad de la tierra en manos de unos pocos.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algunos productos se han adoptado políticas de control de los precios que favorecen a las grandes empresas agro-industriales y a los cultivadores de productos de exportación y desgraciadamente han penalizado a los pequeños cultivadores de productos tradicionales [9]. Otras medidas han hecho que todas las infraestructuras y todos los servicios se montaran a la medida de los intereses de los latifundistas. En otros casos, las políticas fiscales sobre la agricultura han incrementado los beneficios de ciertos grupos de propietarios (personas físicas o sociedades de capital) y han consentido una amortización, en tiempos relativamente reducidos, de las inversiones, sin prever impuestos progresivos y consintiendo, por otra parte, una fácil evasión fiscal. Ha habido, además, políticas de concesión de crédito a la agricultura que han falseado las relaciones de precio entre el capital tierra y el trabajo.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esta forma se ha facilitado un proceso de acumulación basado en la inversión en tierras. Se ha excluido de este proceso a los pequeños agricultores, que se encuentran a menudo al margen del mercado de la tierra.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Violencias y complicidades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12. La historia reciente de muchas áreas rurales está frecuentemente marcada por conflictos, injusticias sociales y diversas formas de violencia no controlada. </w:t>
            </w:r>
            <w:r w:rsidRPr="001B7F27">
              <w:rPr>
                <w:rFonts w:ascii="Arial" w:eastAsia="Times New Roman" w:hAnsi="Arial" w:cs="Arial"/>
                <w:color w:val="003399"/>
                <w:sz w:val="17"/>
                <w:szCs w:val="17"/>
                <w:lang w:eastAsia="es-AR"/>
              </w:rPr>
              <w:br/>
              <w:t xml:space="preserve">La élite terrateniente y las grandes empresas de explotación de los recursos mineros y madereros no han tenido reparos en muchas ocasiones en instaurar un clima de terror para acallar las protestas de los trabajadores, obligados a soportar ritmos de trabajo inhumanos y retribuidos con salarios que a menudo no cubren los gastos de viaje, comida y alojamiento. Se ha instaurado este clima también para ganar los conflictos con los pequeños agricultores que llevan mucho tiempo cultivando tierras de propiedad del Estado o bien otras tierras, o para apoderarse de las tierras ocupadas por los pueblos indígenas.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estas luchas se utilizan métodos intimidatorios, se efectúan detenciones ilegales y, en algunos casos extremos, se reclutan grupos armados para destruir los bienes y las cosechas, quitar poder a los líderes de las comunidades, o deshacerse de algunas personas, incluidos los que defienden a los más débiles, entre los cuales también hay que recordar a muchos responsables de la Iglesia.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menudo los representantes de los poderes públicos son cómplices de estas violencias. La impunidad de los ejecutores y de los mandantes de los crímenes está garantizada por las deficiencias del sistema jurídico y por la indiferencia de muchos Estados hacia los instrumentos jurídicos internacionales de defensa de los derechos humanos.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Nudos institucionales y estructurales que se deben resolver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13. Los países en vías de desarrollo pueden contrarrestar eficazmente el proceso actual de concentración de la propiedad de la tierra si hacen frente a algunas situaciones que se presentan como auténticos nudos estructurales. Éstas son: las carencias y retrasos en el orden legislativo sobre la cuestión del reconocimiento del título de propiedad de la tierra y el mercado del crédito; la falta de interés por la investigación y la capacitación agrícola; la negligencia relativa a los servicios sociales y la creación de infraestructuras en las áreas rurales.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destino universal de los bienes y de la propiedad privada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28. Las consecuencias del desorden actual confirman la necesidad, para toda la sociedad humana, de que se recuerden continuamente los principios de la justicia, y sobre todo el principio del destino universal de los bienes.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doctrina social de la Iglesia, en efecto, funda la ética de las relaciones de propiedad del hombre con respecto a los bienes de la tierra bajo la perspectiva bíblica que señala la tierra como un don de Dios para todos los seres humanos. «Dios ha destinado la tierra y cuando ella contiene al uso de todos los pueblos, de modo que los bienes creados, en una forma equitativa, deben alcanzar a todos bajo la guía de la justicia y el acompañamiento de la caridad. Pues ... jamás se debe perder de vista este destino común de los bienes» [18].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derecho al uso de los bienes terrenales es un derecho natural, primario, de valor universal, puesto que es de todo ser humano: ningún otro derecho de tipo económico puede violarlo [19]; deberá, pues, ser tutelado y aplicado mediante leyes e instituciones.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29. Al afirmar la necesidad de garantizar a todos los hombres, siempre y en cualquier circunstancia, el disfrute de los bienes de la tierra, la doctrina social apoya también el derecho natural de propiedad de estos bienes [20].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hombre, todo hombre, fructifica, de forma efectiva y eficaz, los bienes de la tierra que han sido puestos a su servicio y, por tanto, se realiza a sí mismo, si está en condiciones de poder usar libremente estos bienes, habiendo adquirido su propiedad [21].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Ésta es una condición y una garantía de libertad; es el presupuesto y la garantía de la dignidad de la persona. «La propiedad privada, o un cierto dominio sobre los bienes externos, aseguran a cada uno una zona indispensable de autonomía personal y familiar, y deben ser considerados como una prolongación de la libertad humana. Y como constituyen un estímulo para el ejercicio de la tarea y de la responsabilidad, constituyen una de las condiciones de las libertades civiles» [22].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no se reconoce a los particulares el derecho de propiedad privada, incluida la de los bienes de producción, la historia y la experiencia nos demuestran que se llega a la concentración del poder, la burocratización de los diferentes ámbitos de la sociedad, la insatisfacción social y a ahogar y suprimir «el ejercicio de la libertad humana en las cosas más fundamentales» [23].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30. El derecho de propiedad privada, según el Magisterio de la Iglesia, no es, sin embargo, incondicional; al contrario, está caracterizado por restricciones muy precisas.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propiedad privada, en efecto, en el contexto concreto de sus instituciones y de sus normas jurídicas es, ante todo, un instrumento de actuación del principio del destino común de los bienes; es, por tanto, un medio y no un fin [24].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derecho de propiedad privada, que es positivo y necesario, debe estar circunscrito dentro de los límites de la función social de la propiedad. Todo propietario debe, por lo tanto, ser siempre consciente de la hipoteca social que grava sobre la propiedad privada: «Por tanto, el hombre al usarlas no debe tener las cosas exteriores, que legítimamente posee, como exclusivas suyas, sino también considerarlas como cosas comunes, en el sentido de que deben no sólo aprovecharle a él, sino también a los demás» [25].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31. La función social directa y naturalmente inherente a las cosas y a su destino permite que la Iglesia afirme en su enseñanza social: «Quien se encuentra en extrema necesidad tiene derecho a procurarse lo necesario tomándolo de las riquezas de otros» [26]. El límite al derecho de propiedad privada lo establece el derecho de todo hombre al uso de los bienes necesarios para vivir.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doctrina, establecida por santo Tomás de Aquino [27], ayuda a evaluar algunas situaciones difíciles de mucha importancia ético-social, como la expulsión de los campesinos de las tierras que han cultivado, sin que se les asegure el derecho de recibir la parte de bienes necesarios para vivir, y los casos de ocupación de tierras baldías por parte de los campesinos que no son propietarios y viven en condiciones de extrema indigencia.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Condena del latifundio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32. La doctrina social de la Iglesia, basándose en el principio de la subordinación de la propiedad privada al destino universal de los bienes, analiza las modalidades de aplicación del derecho de propiedad de la tierra como espacio cultivable y condena el latifundio como intrínsecamente ilegítimo. </w:t>
            </w:r>
            <w:r w:rsidRPr="001B7F27">
              <w:rPr>
                <w:rFonts w:ascii="Arial" w:eastAsia="Times New Roman" w:hAnsi="Arial" w:cs="Arial"/>
                <w:color w:val="003399"/>
                <w:sz w:val="17"/>
                <w:szCs w:val="17"/>
                <w:lang w:eastAsia="es-AR"/>
              </w:rPr>
              <w:br/>
              <w:t xml:space="preserve">Las grandes posesiones rurales están mediocremente cultivadas o reservadas baldías para especular con ellas, mientras que se debería incrementar la producción agrícola para responder a la creciente demanda de alimentos de la mayoría de la población, sin tierras o con parcelas demasiado pequeñas.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la doctrina social de la Iglesia, el latifundio está en neto contraste con el principio de que «la tierra ha sido dada para todo el mundo y no solamente para los ricos», de modo que «no hay ninguna razón para reservarse en uso exclusivo lo que supera a la propia necesidad cuando a los demás les falta lo necesario» [28].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latifundio, de hecho, niega a una multitud de personas el derecho de participar con el propio trabajo en el proceso de producción y de responder a sus necesidades y las de sus familias, al igual que a las de su comunidad y nación de la que forman parte [29].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privilegios asegurados por el latifundio provocan contrastes escandalosos y comportan situaciones de dependencia y de opresión tanto en el ámbito nacional como internacional.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33. La enseñanza social de la Iglesia denuncia también las injusticias intolerables provocadas por las formas de apropiación indebida de la tierra por parte de propietarios o empresas nacionales e internacionales, en algunos casos apoyadas por instituciones del Estado, que pisotean todo derecho adquirido y, a menudo, incluso los títulos legales mismos de posesión del suelo, despojando a los pequeños agricultores y a los pueblos indígenas de sus tierras.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trata de formas de apropiación muy graves, porque, además de incrementar las desigualdades en la distribución de los bienes de la tierra, por lo general, producen una distribución de una parte de estos bienes, empobreciendo así a toda la humanidad. Crean formas de explotación de la tierra que quebrantan los equilibrios construidos durante siglos entre el hombre y el medio ambiente, y causan un gran deterioro medioambiental.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Esto debe aparecer como la señal de la desobediencia del hombre al mandamiento de Dios de actuar como guardián y sabio administrador de la creación (cf. Gn 2, 15; Sab 9, 2-3). Las consecuencias de esta desobediencia </w:t>
            </w:r>
            <w:r w:rsidRPr="001B7F27">
              <w:rPr>
                <w:rFonts w:ascii="Arial" w:eastAsia="Times New Roman" w:hAnsi="Arial" w:cs="Arial"/>
                <w:color w:val="003399"/>
                <w:sz w:val="17"/>
                <w:szCs w:val="17"/>
                <w:lang w:eastAsia="es-AR"/>
              </w:rPr>
              <w:lastRenderedPageBreak/>
              <w:t xml:space="preserve">son gravísimas. En efecto, causa una grave y vil forma de falta de solidaridad entre los hombres porque afecta a los más pobres y a las generaciones futuras [30].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34. A la condena del latifundio y de la apropiación indebida, contrarios al principio del destino universal de los bienes, la doctrina social añade la condena de las formas de explotación del trabajo, sobre todo cuando éste es remunerado con salarios injustos o con otras modalidades indignas del hombre.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la remuneración injusta por el trabajo concluido y con otras formas de explotación se niega a los trabajadores la posibilidad de recorrer «la vía concreta a través de la cual la gran mayoría de los hombres puede acceder a los bienes que están destinados al uso común; tanto los bienes de la naturaleza como los que son fruto de la producción»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CONCLUSION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60. La Iglesia se está preparando al nuevo Milenio mediante una experiencia de conversión que encuentra su centro de inspiración en el Gran Jubileo del Año 2000. Este extraordinario acontecimiento eclesial debe impulsar a todos los cristianos a un serio examen de conciencia sobre su testimonio en el presente y también a una conciencia más viva de los pecados del pasado, de aquel «espectáculo de modos de pensar y actuar que eran verdaderas formas de antitestimonio y escándalo» [53].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Afrontando el emblemático tema de la tradición bíblica del Jubileo de la redistribución equitativa de la tierra, el Pontificio Consejo «Justicia y Paz» se propone poner a la vista de todos una de las situaciones más tétricas y dolorosas de la corresponsabilidad, incluso de no pocos cristianos, en las graves formas de injusticia y marginación social, y de la aquiescencia de muchos de ellos frente a la violación de fundamentales derechos humanos [54]. </w:t>
            </w:r>
            <w:r w:rsidRPr="001B7F27">
              <w:rPr>
                <w:rFonts w:ascii="Arial" w:eastAsia="Times New Roman" w:hAnsi="Arial" w:cs="Arial"/>
                <w:color w:val="003399"/>
                <w:sz w:val="17"/>
                <w:szCs w:val="17"/>
                <w:lang w:eastAsia="es-AR"/>
              </w:rPr>
              <w:br/>
              <w:t xml:space="preserve">61. La aquiescencia con el mal, que es una señal preocupante de degeneración espiritual y moral no sólo para los cristianos, está produciendo, en diversos contextos, una desconcertante vacuidad cultural y política, que general la incapacidad para cambiar y renovar. Mientras las relaciones sociales no cambian y la justicia y la solidaridad permanecen ausentes e invisibles, las puertas del futuro se cierran y la suerte de muchos pueblos permanece anclada a un presente cada vez más incierto y precario.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espíritu del Jubileo nos debe incitar a decir: «¡Basta!» ¡Basta a los numerosos pecados individuales y sociales que provocan situaciones de pobreza e injusticia dramáticas e intolerables! Llamando la atención sobre el significado peculiar y esencial que tiene la justicia, en el mensaje bíblico de protección de los más débiles y de tutela de sus derechos, en cuanto hijos de Dios, a disfrutar de las riquezas de la creación, deseamos vivamente que el año jubilar, al igual que en la experiencia bíblica, sirva también hoy para restablecer la justicia social, a través de la distribución de la propiedad de la tierra marcada por un espíritu de solidaridad en las relaciones sociales. </w:t>
            </w:r>
            <w:r w:rsidRPr="001B7F27">
              <w:rPr>
                <w:rFonts w:ascii="Arial" w:eastAsia="Times New Roman" w:hAnsi="Arial" w:cs="Arial"/>
                <w:color w:val="003399"/>
                <w:sz w:val="17"/>
                <w:szCs w:val="17"/>
                <w:lang w:eastAsia="es-AR"/>
              </w:rPr>
              <w:br/>
              <w:t xml:space="preserve">62. La luz de Cristo, imagen del Dios invisible que busca al hombre, Su propiedad particular, movido por Su corazón de Padre, nos da la fuerza y nos ilumina en nuestro difícil camino [55].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profundo conocimiento y la aplicación coherente de las directrices de la Iglesia ayudarán concretamente a toda la humanidad a crear las condiciones para gozar de la salvación a la que ha sido llamada por la gracia de Dios y a dirigirle a Él una gran oración de acción de gracias y de alabanza.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Invocamos la intercesión de la Virgen María, Madre del Redentor, Estrella que guía con seguridad los pasos hacia el Señor de todos los cristianos que abandonan los caminos equivocados, los caminos del mal, y se manifiestan dóciles a la acción del Espíritu para participar en la vida íntima de Dios y llamarle: «¡Abbá, Padre!» (Gá 4, 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Roma, 23 de noviembre 1997. </w:t>
            </w:r>
            <w:r w:rsidRPr="001B7F27">
              <w:rPr>
                <w:rFonts w:ascii="Arial" w:eastAsia="Times New Roman" w:hAnsi="Arial" w:cs="Arial"/>
                <w:color w:val="003399"/>
                <w:sz w:val="17"/>
                <w:szCs w:val="17"/>
                <w:lang w:eastAsia="es-AR"/>
              </w:rPr>
              <w:br/>
              <w:t xml:space="preserve">Solemnidad de Jesucristo, Rey del Universo. </w:t>
            </w:r>
            <w:r w:rsidRPr="001B7F27">
              <w:rPr>
                <w:rFonts w:ascii="Arial" w:eastAsia="Times New Roman" w:hAnsi="Arial" w:cs="Arial"/>
                <w:color w:val="003399"/>
                <w:sz w:val="17"/>
                <w:szCs w:val="17"/>
                <w:lang w:eastAsia="es-AR"/>
              </w:rPr>
              <w:br/>
              <w:t xml:space="preserve">Roger Card. Etchegaray </w:t>
            </w:r>
            <w:r w:rsidRPr="001B7F27">
              <w:rPr>
                <w:rFonts w:ascii="Arial" w:eastAsia="Times New Roman" w:hAnsi="Arial" w:cs="Arial"/>
                <w:color w:val="003399"/>
                <w:sz w:val="17"/>
                <w:szCs w:val="17"/>
                <w:lang w:eastAsia="es-AR"/>
              </w:rPr>
              <w:br/>
              <w:t xml:space="preserve">Presidente del Pontificio Consejo «Justicia y Paz»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Y EL SOCIALISMO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socialismo existen dos tipos de propiedad, la propiedad personal y la propiedad vinculada a la producción. La primera tiene el régimen similar de la propiedad privada y la segunda son bienes socializados o de propiedad colectiva. La Constitución de la Cuba socialista se expresa así:</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14.- En la República de Cuba rige el sistema de economía basado en la propiedad socialista de todo el pueblo sobre los medios fundamentales de producción y en la supresión de la explotación del hombre por el hombre. </w:t>
            </w:r>
            <w:r w:rsidRPr="001B7F27">
              <w:rPr>
                <w:rFonts w:ascii="Arial" w:eastAsia="Times New Roman" w:hAnsi="Arial" w:cs="Arial"/>
                <w:color w:val="003399"/>
                <w:sz w:val="17"/>
                <w:szCs w:val="17"/>
                <w:lang w:eastAsia="es-AR"/>
              </w:rPr>
              <w:br/>
              <w:t xml:space="preserve">También rige el principio de distribución socialista 'de cada cual según su capacidad, a cada cual según su trabajo'. La ley establece las regulaciones que garantizan el efectivo cumplimiento de este principio.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15.- Son de propiedad estatal socialista de todo el pueblo: </w:t>
            </w:r>
            <w:r w:rsidRPr="001B7F27">
              <w:rPr>
                <w:rFonts w:ascii="Arial" w:eastAsia="Times New Roman" w:hAnsi="Arial" w:cs="Arial"/>
                <w:color w:val="003399"/>
                <w:sz w:val="17"/>
                <w:szCs w:val="17"/>
                <w:lang w:eastAsia="es-AR"/>
              </w:rPr>
              <w:br/>
              <w:t xml:space="preserve">a) las tierras que no pertenecen a los agricultores pequeños o a cooperativas integradas por estos, el subsuelo, las </w:t>
            </w:r>
            <w:r w:rsidRPr="001B7F27">
              <w:rPr>
                <w:rFonts w:ascii="Arial" w:eastAsia="Times New Roman" w:hAnsi="Arial" w:cs="Arial"/>
                <w:color w:val="003399"/>
                <w:sz w:val="17"/>
                <w:szCs w:val="17"/>
                <w:lang w:eastAsia="es-AR"/>
              </w:rPr>
              <w:lastRenderedPageBreak/>
              <w:t xml:space="preserve">minas, los recursos naturales tanto vivos como no vivos dentro de la zona económica marítima de la República, los bosques, las aguas y las vías de comunicación; </w:t>
            </w:r>
            <w:r w:rsidRPr="001B7F27">
              <w:rPr>
                <w:rFonts w:ascii="Arial" w:eastAsia="Times New Roman" w:hAnsi="Arial" w:cs="Arial"/>
                <w:color w:val="003399"/>
                <w:sz w:val="17"/>
                <w:szCs w:val="17"/>
                <w:lang w:eastAsia="es-AR"/>
              </w:rPr>
              <w:br/>
              <w:t xml:space="preserve">b) Las centrales azucareras, las fabricas, los medios fundamentales de transporte, y cuantas empresas, bancos e instalaciones han sido nacionalizados y expropiados a los imperialistas, latifundistas y burgueses, así como las fabricas, empresas e instalaciones económicas y centros científicos, sociales, culturales y deportivos construidos, fomentados o adquiridos por el Estado y los que en el futuro construya, fomente o adquiera.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Estos bienes no pueden trasmitirse en propiedad a personas naturales o jurídicas, salvo los casos excepcionales en que la transmisión parcial o total de algún objetivo económico se destine a los fines del desarrollo del país y no afecten los fundamentos políticos, sociales y económicos del Estado, previa aprobación del Consejo de Ministros o su Comité Ejecutivo. </w:t>
            </w:r>
            <w:r w:rsidRPr="001B7F27">
              <w:rPr>
                <w:rFonts w:ascii="Arial" w:eastAsia="Times New Roman" w:hAnsi="Arial" w:cs="Arial"/>
                <w:color w:val="003399"/>
                <w:sz w:val="17"/>
                <w:szCs w:val="17"/>
                <w:lang w:eastAsia="es-AR"/>
              </w:rPr>
              <w:br/>
              <w:t xml:space="preserve">En cuanto a la transmisión de otros derechos sobre estos bienes a empresas estatales y otras entidades autorizadas, para el cumplimiento de sus fines, se actuara conforme a lo previsto en la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19.- El Estado reconoce la propiedad de los agricultores pequeños sobre las tierras que legalmente les pertenecen y los demás bienes inmuebles y muebles que les resulten necesarios para la explotación a que se dedican, conforme a lo que establece la ley. Los agricultores pequeños, previa autorización del organismo estatal competente y el cumplimiento de los demás requisitos legales, pueden incorporar sus tierras únicamente a cooperativas de producción agropecuaria. Además pueden venderlas, permutarlas o trasmitirlas por otro titulo al Estado y a cooperativas de producción agropecuaria o a agricultores pequeños en los casos, formas y condiciones que establece la ley, sin perjuicio del derecho preferente del Estado a su adquisición, mediante el pago de su justo precio.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prohíbe el arrendamiento, la aparcería, los prestamos hipotecarios y cualquier acto que implique gravamen o cesión a particulares de los derechos emanados de la propiedad de los agricultores pequeños sobre sus tierras. </w:t>
            </w:r>
            <w:r w:rsidRPr="001B7F27">
              <w:rPr>
                <w:rFonts w:ascii="Arial" w:eastAsia="Times New Roman" w:hAnsi="Arial" w:cs="Arial"/>
                <w:color w:val="003399"/>
                <w:sz w:val="17"/>
                <w:szCs w:val="17"/>
                <w:lang w:eastAsia="es-AR"/>
              </w:rPr>
              <w:br/>
              <w:t xml:space="preserve">El Estado apoya la producción individual de los agricultores pequeños que contribuyen a la economía 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21.- Se garantiza la propiedad personal sobre los ingresos y ahorros procedentes del trabajo propio, sobre la vivienda que se posea con justo titulo de dominio y los demás bienes y objetos que sirven para la satisfacción de las necesidades materiales y culturales de la persona.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Asimismo se garantiza la propiedad sobre los medios e instrumentos de trabajo personal o familiar, los que no pueden ser utilizados para la obtención de ingresos provenientes de la explotación del trabajo ajeno. La ley establece la cuantía en que son embargables los bienes de propiedad personal.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24.- El Estado reconoce el derecho de herencia sobre la vivienda de dominio propio y demás bienes de propiedad personal. La tierra y los demás bienes vinculados a la producción que integran la propiedad de los agricultores pequeños son heredables y solo se adjudican a aquellos herederos que trabajan la tierra, salvo las excepciones y según el procedimiento que establece la ley. </w:t>
            </w:r>
            <w:r w:rsidRPr="001B7F27">
              <w:rPr>
                <w:rFonts w:ascii="Arial" w:eastAsia="Times New Roman" w:hAnsi="Arial" w:cs="Arial"/>
                <w:color w:val="003399"/>
                <w:sz w:val="17"/>
                <w:szCs w:val="17"/>
                <w:lang w:eastAsia="es-AR"/>
              </w:rPr>
              <w:br/>
              <w:t xml:space="preserve">La ley fija los casos, las condiciones y la forma en que los bienes de propiedad cooperativa podrán ser heredables.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25.- Se autoriza la expropiación de bienes, por razones de utilidad publica o interés social y con la debida indemnización. La ley establece el procedimiento para la expropiación y las bases para la determinar su utilidad y necesidad, así como la forma de indemnización, considerando los intereses y las necesidades económicas y sociales del expropiado.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primer escrito de los lideres gremiales de los trabajadores mundiales que con el objetivo de crear un Partido político que enfoque al mundo desde su perspectiva, encomendó a Marx y Engels la redacción del documento que dé expresión pública de sus ideas, y entre otras cosas expresa lo siguiente sobre la propiedad: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tesis teóricas de los comunistas no se basan en modo alguno en ideas y principios inventados o descubiertos por tal o cual reformador del mundo.[123]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son sino la expresión de conjunto de las condiciones reales de una lucha de clases existente, de un movimiento histórico que se está desarrollando ante nuestros ojos. La abolición de las relaciones de propiedad antes existentes no es una característica propia del comunismo.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Todas las relaciones de propiedad han sufrido constantes cambios históricos, continuas transformaciones históricas.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revolución francesa, por ejemplo, abolió la propiedad feudal en provecho de la propiedad burguesa.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rasgo distintivo del comunismo no es la abolición de la propiedad en general, sino la abolición de la propiedad burguesa.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la propiedad privada burguesa moderna es la última y más acabada expresión del modo de producción y de apropiación de lo producido basado en los antagonismos de clase, en la explotación de los unos por los otros.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En este sentido, los comunistas pueden resumir su teoría en esta fórmula única: abolición de la propiedad privada.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nos ha reprochado a los comunistas el querer abolir la propiedad personalmente adquirida, fruto del trabajo propio, esa propiedad que forma la base de toda la libertad, actividad e independencia individual.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adquirida, fruto del trabajo, del esfuerzo personal! ¿Os referís acaso a la propiedad del pequeño burgués, del pequeño labrador, esa forma de propiedad que ha precedido a la propiedad burguesa? No tenemos que abolirla: el progreso de la industria la ha abolido y está aboliéndola a diario.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 tal vez os referís a la propiedad privada burguesa moderna?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que el trabajo asalariado, el trabajo del proletario, crea propiedad para el proletario? De ninguna manera. Lo que crea es capital, es decir, la propiedad que explota al trabajo asalariado y que no puede acrecentarse sino a condición de producir nuevo trabajo asalariado, para volver a explotarlo. En su forma actual la propiedad se mueve en el antagonismo entre el capital y el trabajo asalariado. Examinemos los dos términos de este antagonismo.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Ser capitalista significa ocupar no sólo una posición puramente personal en la producción, sino también una posición social. El capital es un producto colectivo; no puede ser puesto en movimiento sino por la actividad conjunta de muchos miembros de la sociedad y, en última instancia, sólo por la actividad conjunta de todos los miembros de la sociedad.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capital no es, pues, una fuerza personal; es una fuerza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consecuencia, si el capital es transformado en propiedad colectiva, perteneciente a todos los miembros de la sociedad, no es [124] la propiedad personal la que se transforma en propiedad social. Sólo cambia el carácter social de la propiedad. Esta pierde su carácter de clase.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libro El origen de la familia, la propiedad privada y el Estado fue escrito por Engels en dos meses: desde fines de marzo hasta fines de mayo de 1884. Al revisar los manuscritos de Marx, Engels descubrió un guión detallado del libro del científico progresista norteamericano L. H. Morgan Ancient Society ('La sociedad antigua'). Marx lo había hecho en 1880-1881, acompañándolo de gran número de notas críticas y opiniones propias, así como de suplementos tomados de otras fuentes. Al tomar conocimiento del guión y convencerse de que el libro de Morgan confirmaba la concepción materialista de la historia que Marx y él habían elaborado y sus concepciones de la sociedad primitiva, Engels estimó necesario escribir un trabajo especial, utilizando en vasta escala las observaciones de Marx, así como algunas conclusiones y datos concretos del libro de Morgan. Engels consideraba que eso sería 'en cierto grado un cumplimiento del testamento' de Marx. Al escribir el libro, Engels se valió de numerosos y variados datos suplementarios tomados de sus investigaciones en problemas de la historia de Grecia, Roma, la antigua Irlanda, los antiguos germanos, etc., los siguientes parrafos son los que se refieren a la propiedad privada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GENS GRIEGA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los tiempos prehistóricos, los griegos, como los pelasgos y otros pueblos congéneres, estaban ya constituidos con arreglo a la misma serie orgánica que los americanos: gens, fratria, tribu, confederación de tribus. Podía faltar la fratria, como en los dorios; no en todas partes se formaba la confederación de tribus; pero en todos los casos, la gens era la unidad orgánica. En la época en que aparecen en la historia, los griegos se hallan en los umbrales de la civilización; entre ellos y las tribus americanas de que hemos hablado antes median casi dos grandes períodos de desarrollo, que los griegos de la época heroica llevan de ventaja a los iroqueses. Por eso la gens de los griegos ya no es de ningún modo la gens arcaica de los iroqueses; el sello del matrimonio por grupos comienza a borrarse notablemente. El derecho materno ha cedido el puesto al derecho paterno; por eso mismo la riqueza privada, en proceso de surgimiento, ha abierto la primera brecha en la constitución gentilicia. Otra brecha es consecuencia natural de la primera: al introducirse el derecho paterno, la fortuna de una rica heredera pasa, cuando contrae matrimonio, a su marido, es decir, a otra gens, con lo que se destruye todo el fundamento del derecho gentil; por tanto, no sólo se tiene por lícito, sino que hasta es obligatorio en este caso, que la joven núbil se case dentro de su propia gens para que los bienes no salgan de ésta.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Según la historia de Grecia debida a Grote, la gens ateniense, es particular, estaba cohesionada por: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Las solemnidades religiosas comunes y el derecho de sacerdocio en honor a un dios determinado, el pretendido fundador de la gens, designado en ese concepto con un sobrenombre especial.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Los lugares comunes de inhumación (Véase 'Contra Eubúlides', de Demóstenes).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El derecho hereditario recíproco.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4. La obligación recíproca de prestarse ayuda, socorro y apoyo contra la violencia.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El derecho y el deber recíprocos de casarse en ciertos casos dentro de la gens, sobre todo tratándose de huérfanas o herederas.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La posesión, en ciertos casos por lo menos, de una propiedad común, con un arconte y un tesorero propios.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fratria agrupaba varias gens, pero menos estrechamente; sin embargo, también aquí hallamos derechos y deberes recíprocos de una especie análoga, sobre todo la comunidad de ciertos ritos religiosos y el derecho a perseguir al homicida en el caso de asesinato de un frater. El conjunto de las fratrias de una tribu tenía a su vez ceremonias sagradas periódicas, bajo la presidencia de un 'filobasileus' (jefe de tribu) elegido entre los nobles (eupátridas).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Ahí se detiene Grote. Y Marx añade: 'Pero detrás de la gens griega se reconoce al salvaje (por ejemplo al iroqués)'. Y no hay manera de no reconocerlo, a poco que prosigamos nuestras investigaciones.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efecto, la gens griega tiene también los siguientes rasgos: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La descendencia según el derecho paterno.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La prohibición del matrimonio dentro de la gens, excepción hecha del matrimonio con las herederas. Esta excepción, erigida en precepto, indica el rigor de la antigua regla. Esta, a su vez, resulta del principio generalmente adoptado de que la mujer, por su matrimonio, renunciaba a los ritos religiosos de su gens y pasaba a los de su marido, en la fratria del cual era inscrita. Según eso, y con arreglo a un conocido pasaje de Dicearca, el matrimonio fuera de la gens era la regla. Becker, en su 'Charicles', afirma que nadie tenía derecho a casarse en el seno de su propia gens.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El derecho de adopción en la gens, ejercido mediante la adopción en la familia, pero con formalidades públicas y sólo en casos excepcionales.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10. El derecho de elegir y deponer a los jefes. Sabemos que cada gens tenía su arconte; pero no se dice en ninguna parte que este cargo fuese hereditario en determinadas familias. Hasta el fin de la barbarie, las probabilidades están en contra de la herencia de los cargos, que es de todo punto incompatible con un estado de las cosas donde ricos y pobres tenían en el seno de la gens derechos absolutamente iguales.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sólo Grote, sino también Niebuhr, Mommsen y todos los demás historiadores que se han ocupado hasta aquí de la antigüedad clásica, se han estrellado contra la gens. Por más atinadamente que describan muchos de sus rasgos distintivos, lo cierto es que siempre han visto en ella un 'grupo de familias' y no han podido por ello comprender su naturaleza y su origen. Bajo la constitución de la gens, la familia nunca pudo ser ni fue una célula orgánica, porque el marido y la mujer pertenecían por necesidad a dos gens diferentes. La gens entraba entera en la fratria y ésta, en la tribu; la familia entraba a medias en la gens del marido, a medias en la de la mujer. Tampoco el Estado reconoce la familia en el Derecho público; hasta aquí sólo existe el Derecho civil. Y, sin embargo, todos los trabajos históricos escritos hasta el presente parte de la absurda suposición, que ha llegado a ser inviolable, sobre todo en el siglo XVIII, de que la familia monogámica, apenas más antigua que la civilización, es el núcleo alrededor del cual fueron cristalizando poco a poco la sociedad y 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'Hagamos notar al señor Grote -dice Marx- que aun cuando los griegos hacen derivar sus gens de la mitología, no por eso dejan de ser esas gens más antiguas que la mitología, con sus dioses y semidioses, creada por ellas mismas'.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Morgan cita de referencia a Grote, porque es un testigo prominente y nada sospechoso. Más adelante Grote refiere que cada gens ateniense tenía un nombre derivado de su fundador presunto; que, antes de Solón siempre, y después de él en caso de muerte intestada, los miembros de la gens (gennêtes) del difunto heredaban su fortuna; y que en caso de muerte violenta el derecho y el deber de perseguir al matador ante los tribunales correspondía primero a los parientes más cercanos, después al resto de los gentiles y, por último, a los fratores de la víctima. 'Todo lo que sabemos acerca de las antiguas leyes atenienses está fundado en la división en gens y fratrias'.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descendencia de las gens de antepasados comunes ha producido muchos quebraderos de cabeza a los 'sabios filisteos' de quienes habla Marx. Como proclaman puro mito a dichos antepasados y no pueden explicarse de ningún modo que las gens se hayan formado de familias distintas, sin ninguna consanguinidad original, para salir de este atolladero y explicar la existencia de la gens recurren a un diluvio de palabras que giran en un círculo vicioso y no van más allá de esta proposición: la genealogía es puro mito, pero la gens es una realidad. Y, finalmente, Grote dice (las glosas entre paréntesis son de Marx); 'Rara vez oímos hablar de este árbol genealógico, porque sólo se exhibe en casos particularmente solemnes. Pero las gens de menor importancia tenían prácticas religiosas comunes propias de ellas (¡qué extraño, señor Grote!) y un antepasado sobrenatural, así como un arbol genealógico común, igual que las más célebres (¡pero qué extraño es todo esto, señor Grote, en gens de menor importancia!); el plan </w:t>
            </w:r>
            <w:r w:rsidRPr="001B7F27">
              <w:rPr>
                <w:rFonts w:ascii="Arial" w:eastAsia="Times New Roman" w:hAnsi="Arial" w:cs="Arial"/>
                <w:color w:val="003399"/>
                <w:sz w:val="17"/>
                <w:szCs w:val="17"/>
                <w:lang w:eastAsia="es-AR"/>
              </w:rPr>
              <w:lastRenderedPageBreak/>
              <w:t>fundamental y la base ideal (¡no ideal, caballero, sino carnal, o dicho en sencillo alemán fleischlich!) eran iguales para todas ellas'.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Marx, resume, consigue la respuesta de Morgan a esa argumentación: 'El sistema de consanguinidad que corresponde a la gens en su forma primitiva -y los griegos la han tenido como los demás mortales- aseguraba el conocimiento de los grados de parentesco de todos los miembros de la gens entre sí. Aprendían esto, que tenía para ellos suma importancia, por práctica, desde la infancia más temprana. Con la familia monogámica, cayó en el olvido. El nombre de la gens creó una genealogía junto a la cual parecía insignificante la de la familia monogámica. Ahora este nombre debía confirmar el hecho de su descendencia común a quienes lo llevaban; pero la genealogía de la gens se remontaba a tiempos tan lejanos, que sus miembros ya no podían demostrar su parentesco recíproco real, excepto en un pequeño número de casos en que los descendientes comunes eran más recientes. El nombre mismo era una prueba irrecusable de la procedencia común, salvo en los casos de adopción. En cambio, negar de hecho toda consanguinidad entre los gentiles, como lo hacen Grote y Niebuhr, que han transformado la gens en una creación puramente imaginaria y poética, es digno de exégetas 'ideales', es decir, de tragalibros encerrados entre cuatro paredes. Porque el encadenamiento de las generaciones, sobre todo desde la aparición de la monogamia, se pierde en la lejanía de los tiempos y porque la realidad pasada aparece reflejada en las imágenes fantásticas de la mitología, ¡los buenazos de los viejos filisteos han deducido y deducen aún que una genealogía imaginaria creó gens reales!'.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fratria, como entre los americanos, era una gens madre escindida en varias gens hijas, a las cuales servía de lazo de unión y que a menudo las hacía también a todas descender de un antepasado común. Así, según Grote, 'todos los coetáneos de la fratria de Hecateo tenían un solo y mismo dios por abuelo en decimosexto grado'. Por lo tanto, todas las gens de aquella fratria eran, al pie de la letra, gens hermanas. La fratria aparece ya com unidad militar en Homero, en el célebre pasaje donde Néstor da este consejo a Agamenón: 'Coloca a los hombres por tribus y por fratrias, para que la fratria preste auxilio a la fratria y la tribu a la tribu'. La fratria tenía también el derecho y el deber de castigar el homicidio perpetrado en la persona de un frater, lo que indica que en tiempos anteriores había tenido el deber de la venganza de sangre. Además, tenía fiestas y santuarios comunes; en general, el desarrollo de la mitología griega a partir del culto a la naturaleza, tradicional en los arios, se debió esencialmente a las gens y las fratrias y se produjo en el seno de éstas.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Tenía también la fratria un jefe ('fratriarcos'), y, asimismo, según De Coulanges, asambleas cuyas decisiones eran obligatorias, un tribuna y una administración. Posteriormente, el Estado mismo, que pasaba por alto la existencia de las gens, dejó a la fratria ciertas funciones públicas, de carácter administrativo.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reunión de varias fratrias emparentadas forma la tribu. En el Atica había cuatro tribus, cada una de tres fratrias que constaban a su vez de treinta gens cada una. Una determinación tan precisa de los grupos supone una intervención consciente y metódica en el orden espontáneamente nacido. Cómo, cuándo y por qué sucedió esto, no lo dice ha historia griega, y los griegos mismos conservan el recuerdo de ello hasta la época heroica nada más.</w:t>
            </w:r>
            <w:r w:rsidRPr="001B7F27">
              <w:rPr>
                <w:rFonts w:ascii="Arial" w:eastAsia="Times New Roman" w:hAnsi="Arial" w:cs="Arial"/>
                <w:color w:val="003399"/>
                <w:sz w:val="17"/>
                <w:szCs w:val="17"/>
                <w:lang w:eastAsia="es-AR"/>
              </w:rPr>
              <w:br/>
              <w:t>Las diferencias de dialecto estaban menos desarrolladas entre los griegos, aglomerados en un territorio relativamente pequeño, que en los vastos bosques americanos; sin embargo, también aquí sólo tribus de la misma lengua madre aparecen reunidas formando grandes agrupaciones; y hasta la pequeña Atica tiene su propio dialecto, que más tarde pasó a ser la lengua predominante en toda la prosa griega.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los poemas de Homero hallamos ya a la mayor parte de las tribus griegas reunidas formando pequeños pueblos, en el seno de las cuales, sin embargo, conservaban aún completa independencia las gens, las fratrias y las tribus. Estos pueblos vivían ya en ciudades amuralladas; la población aumentaba a medida que aumentaban los ganados, se desarrollaba la agricultura e iban naciendo los oficios manuales; al mismo tiempo crecían las diferencias de fortuna y, con éstas, el elemento aristocrático en el seno de la antigua democracia primitiva, nacida naturalmente. Los distintos pueblos sostenían incesantes guerras por la posesión de los mejores territorios y también, claro está, con la mira puesta en el botín, pues la esclavitud de los prisioneros de guerra era una institución reconocida ya.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constitución de estas tribus y de estos pequeños pueblos era en aquel momento la siguiente: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La autoridad permanente era el consejo ('bulê'), primitivamente formado quizás por los jefes de las gens y más tarde, cuando el número de éstas llegó a ser demasiado grande, por un grupo de individuos electos, lo que dio ocasión para desarrollar y reforzar el elemento aristocrático. Dionisio dice que el consejo de la época heroica estaba constituido por aristócratas ('kratistoi'). El consejo decidía los asuntos importantes. En Esquilo, el consejo de Tebas toma el acuerdo, decisivo en aquella situación, de enterrar a Etéocles con grandes honores y de arrojar el cadáver de Polinices para que sirva de pasto a los perros. Con la institución del Estado, este consejo se convirtió en Senado.</w:t>
            </w:r>
            <w:r w:rsidRPr="001B7F27">
              <w:rPr>
                <w:rFonts w:ascii="Arial" w:eastAsia="Times New Roman" w:hAnsi="Arial" w:cs="Arial"/>
                <w:color w:val="003399"/>
                <w:sz w:val="17"/>
                <w:szCs w:val="17"/>
                <w:lang w:eastAsia="es-AR"/>
              </w:rPr>
              <w:br/>
              <w:t xml:space="preserve">2. La asamblea del pueblo ('ágora'). Entre los iroqueses hemos visto que el pueblo, hombres y mujeres, rodea a la asamblea del consejo, toma allí la palabra de una manera ordenada e influye de esta suerte en sus determinaciones. Entre los griegos homéricos, estos 'circunstantes', para emplear una expresión jurídica del alemán antiguo, 'Umstand', se han convertido ya en una verdadera asamblea general del pueblo, lo mismo que aconteció entre los germanos de los tiempos primitivos. Esta asamblea era convocada por el consejo para decidir los asuntos importantes; cada hombre podía hacer uso de la palabra. El acuerdo se tomaba levantando las manos (Esquilo, en 'Las Suplicantes'), o por aclamación. La asamblea era soberana en última instancia, porque, como dice Schömann </w:t>
            </w:r>
            <w:r w:rsidRPr="001B7F27">
              <w:rPr>
                <w:rFonts w:ascii="Arial" w:eastAsia="Times New Roman" w:hAnsi="Arial" w:cs="Arial"/>
                <w:color w:val="003399"/>
                <w:sz w:val="17"/>
                <w:szCs w:val="17"/>
                <w:lang w:eastAsia="es-AR"/>
              </w:rPr>
              <w:lastRenderedPageBreak/>
              <w:t>('Antiguedades griegas'), 'cuando se trata de una cosa que para ejecutarse exige la cooperación del pueblo, Homero no nos indica ningún medio por el cual pueda ser constreñido éste a obrar contra su voluntad'. En aquella época, en que todo miembro masculino adulto de la tribu era guerrero, no había aún una fuerza pública separada del pueblo y que pudiera oponérsele. La democracia primitiva se hallaba todavía en plena florescencia, y esto debe servir de punto de partida para juzgar el poder y la situación del consejo y del 'basileus'.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El jefe militar ('basileus'). A propósito de esto, Marx observa: 'Los sabios europeos, en su mayoría lacayos natos de los príncipes, hacen del 'basileus' un monarca en el sentido moderno de la palabra. El republicano yanqui Morgan protesta contra esa idea. Del untuoso Gladstone, y de su obra 'Juventus Mundi' dice con tanta ironía como verdad: 'Mister Gladstone nos presenta a los jefes griegos de los tiempos heroicos como reyes y príncipes que, por añadidura, son unos cumplidos gentlemen; pero él mismo se ve obligado a reconocer que, en general, nos parece encontrar suficiente, pero no rigurosamente establecida la costumbre o la ley del derecho de primogenitura'. Es de suponer que un derecho de primogenitura con tales reservas debe parecerle al propio señor Gladstone suficientemente, aunque no con todo rigor, privado de la más mínima importancia.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Ya hemos visto cuál era el estado de cosas respecto a la herencia de las funciones superiores entre los iroqueses y los demás indios. Todos los cargos eran electivos, la mayor parte en el seno mismo de la gens, y hereditarios en ésta. Gradualmente se llegó a dar preferencia en caso de vacante al pariente gentil más próximo -al hermano o al hijo de la hermana-, siempre que no hubiese motivos para excluirlo. Por tanto, si entre los griegos, bajo el imperio del derecho paterno, el cargo de 'basileus' solía pasar al hijo o a uno de los hijos, esto demuestra simplemente que los hijos tenían allí a favor suyo la probabilidad de elección legal por elección popular, pero no prueba de ningún modo la herencia de derecho sin elección del pueblo. Aquí vemos, entre los iroqueses y entre los griegos, el primer germen de familias nobles, con una situación especial dentro de las gens, y entre los griegos también el primer germen de la futura jefatura militar hereditaria o de la monarquía. Por consiguiente, es probable que entre los griegos el 'basileus' debiera ser o electo por el pueblo o confirmado por los órganos reconocidos de éste, el consejo o el 'ágora', como se practica respecto al 'rey' ('rex') romano.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'Ilíada', el jefe de los hombres, Agamenón, aparece no como el rey supremo de los griegos, sino como el general en jefe de un ejército confederado ante una ciudad sitiada. Y Ulises, cuando estallan disensiones entre los griegos, apela a esta calidad, en el famoso pasaje: 'No es bueno que muchos manden a la vez, uno solo debe dar órdenes', etc... (El tan conocido verso en que se trata del cetro es un postizo intercalado posteriormente.). 'Ulises no da aquí una conferencia acerca de la forma de gobierno, sino que pide que se obedezca al general en jefe en campaña. Entre los griegos, que no aparecen antre Troya más que como ejército, el orden imperante en el 'ágora' es bastante democrático. Cuando Aquiles habla de presentes, es decir, del reparto del botín, no encarga de ese reparto no a Agamenón ni a ningún otro 'basileus', sino a 'los hijos de los Aqueos', es decir, al pueblo. Los atributos 'engendrado por Zeus', 'criado por Júpiter', nada prueban, desde el momento en que cada gens desciende de un dios y la gens del jefe de la tribu de uno 'más alto', en el caso presente, de Zeus. Hasta os individuos no manumitidos, como el porquero Eumeo y otros, son 'divinos' ('dioi' y 'theioi'), y eso en la Odisea, es decir, en una época muy posterior a la descrita por la Iliada. También en la 'Odisea', se llama 'heros' al mensajero Mulios y al cantor ciego Demodoco. En resumen: la palabra 'basileia', que los escritores griegos emplean para la sedicente realeza homérica, acompañada de un consejo y de una asamblea del pueblo, significa, sencillamente, democracia militar (porque el mando de los ejércitos era su distintivo principal' (Marx).</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Además de sus atribuciones militares, el 'basileus' las tenía también religiosas y judiciales; estas últimas eran indeterminadas, pero las primeras le correspondían en concepto de representante supremo de la tribu o de la federación de tribus. Nunca se habla de atribuciones civiles, administrativas, aunque el 'basileus' parece haber sido miembro del consejo, en atención a su cargo. Traducir 'basileus' por la palabra alemana 'König' es, pues, etimológicamente muy exacto, puesto que 'König' ('Kuning') se deriva de 'Kuni', 'Künne', y significa jefe de una gens. Pero el 'basileus' de la Grecia antigua no corresponde de ninguna manera a la significación actual de la palabra 'König' (rey). Tucídides llama expresamente a la antigua 'basileia' una 'patriké', es decir, derivada de las gens, y dice que tuvo atribuciones fijas, y por tanto limitadas. Y Aristóteles dice que la 'basileia' de los tiempos heroicos fue una jefatura militar ejercida sobre hombres libres, y el 'basileus' un jefe militar, juez y gran sacerdote. No tenía, por consiguiente, ningún poder gubernamental en el sentido ulterior de la palabra.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Así, pues, en la constitución griega de la época heroica vemos aún llena de vigor la antigua organización de la gens, pero también observamos el comienzo de su decadencia: el derecho paterno con herencia de la fortuna por los hijos, lo cual facilita la acumulación de las riquezas en la familia y hace de ésta un poder contrario a la gens; la repercusión de la diferencia de fortuna sobre la constitución social mediante la formación de los gérmenes de una nobleza hereditaria y de una monarquía; la esclavitud, que al principio sólo comprendió a los prisioneros de guerra, pero que desbrozó el camino de la esclavitud de los propios miembros de la tribu, y hasta de la gens; la degeneración de la antigua de guerra de unas tribus contra otras en correrías sistemáticas por tierra y por mar para apoderarse de ganados, esclavos y tesoros, lo que llegó a ser una industria más. En resumen, la fortuna es apreciada y considerada como el sumo bien, y se abusa de la antigua organización de la gens para justificar el robo de las riquezas por medio de la violencia. No faltaba más que una cosa; la institución que no sólo asegurase las nuevas riquezas de los individuos contra las tradiciones comunistas de la constitución gentil, que no sólo consagrase la propiedad privada antes tan poco estimada e hiciese de esta santificación el fin más elevado de la comunidad </w:t>
            </w:r>
            <w:r w:rsidRPr="001B7F27">
              <w:rPr>
                <w:rFonts w:ascii="Arial" w:eastAsia="Times New Roman" w:hAnsi="Arial" w:cs="Arial"/>
                <w:color w:val="003399"/>
                <w:sz w:val="17"/>
                <w:szCs w:val="17"/>
                <w:lang w:eastAsia="es-AR"/>
              </w:rPr>
              <w:lastRenderedPageBreak/>
              <w:t>humana, sino que, además, imprimiera el sello del reconocimiento general de la sociedad a las nuevas formas de adquirir la propiedad, que se desarrollaban una tras otra, y por tanto a la acumulación, cada vez más acelerada, de las riquezas; en una palabra, faltaba una institución que no sólo perpetuase la naciente división de la sociedad en clases, sino también el derecho de la clase poseedora de explotar a la no poseedora y el dominio de la primera sobre la segunda.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Creí necesario extractar secciones o párrafos de un representante utópico como lo es PROUDHON, con el fin de fotografiar brevemente este pensamiento respecto a la propiedad privada, de su libro ¿QUE ES LA PROPIEDAD PRIVADA? Copiamos lo siguiente: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METODO SEGUIDO EN ESTA OBRA</w:t>
            </w:r>
            <w:r w:rsidRPr="001B7F27">
              <w:rPr>
                <w:rFonts w:ascii="Arial" w:eastAsia="Times New Roman" w:hAnsi="Arial" w:cs="Arial"/>
                <w:color w:val="003399"/>
                <w:sz w:val="17"/>
                <w:szCs w:val="17"/>
                <w:lang w:eastAsia="es-AR"/>
              </w:rPr>
              <w:br/>
              <w:t>ESBOZO DE UNA REVOLUCION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tuviese que contestar la siguiente pregunta: ¿Qué es la esclavitud? y respondiera en pocas palabras: Es el asesinato, mi pensamiento se aceptaría desde luego. No necesitaría de grandes razonamientos para demostrar que el derecho de quitar al hombre el pensamiento, la voluntad, la personalidad, es un derecho de vida y muerte, y que hacer esclavo a un hombre es asesinarle.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qué razón, pues, no puedo contestar a la pregunta qué es la propiedad, diciendo concretamente la propiedad es un robo, sin tener la certeza de no ser comprendido, a pesar de que esta segunda afirmación no es más que una simple transformación primera?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Me decido discutir el principio mismo de nuestro gobierno y de nuestras instituciones, la propiedad; estoy en mi derecho. Puedo equivocarme en la conclusión que de mis investigaciones resulte; estoy en mi derecho. Me place colocar el último pensamiento de mi libro en su primera página; estoy también en mi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autor enseña que la propiedad es un derecho civil, originado por la ocupación y sancionado por la ley; otro sostiene que es un derecho natural, que tiene por fuente el trabajo; y estas doctrinas tan antitéticas son aceptadas y aplaudidas con entusiasmo. Yo creo que ni el trabajo, ni la ocupación, ni la ley, pueden engendrar la propiedad, pues ésta es un efecto sin causa. ¿Se me puede censurar por ello? ¿Cuántos comentarios producirán estas afirmaciones?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es el robo! ¡He ahí el toque de rebato del 93! ¡La turbulenta agitación de las revoluciones!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Tranquilízate, lector; no soy, ni mucho menos, un elemento de discordia, un instigador de sediciones. Me limito a anticiparme en algunos días a la historia; expongo una verdad cuyo esclarecimiento no es posible evitar. Escribo, en una palabra, el preámbulo de nuestra constitución futura. Esta definición que te parece peligrosísima, la propiedad es el robo, bastaría para conjurar el rayo de las pasiones populares si nuestras preocupaciones nos permitiesen comprenderla. Pero ¡cuántos intereses y prejuicios no se oponen a ello!... La filosofía no cambiará jamás el curso de los acontecimientos: el destino se cumplirá con independencia de la profecía. Por otra parte, ¿no hemos de procurar que la justicia se realice y que nuestra educación se perfeccione?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propiedad es el robo!... ¡Qué inversión de ideas! Propietario y ladrón fueron en todo tiempo expresiones contradictorias, de igual modo que sus personas son entre sí antipáticas; todas las lenguas han consagrado esta antinomia. Ahora bien: ¿con qué autoridad podréis impugnar el asentimiento universal y dar un mentís a todo el género humano? ¿Quién sos para quitar la razón a los pueblos y a la tradición?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¿Qué puede importarte, lector, mi humilde personalidad? He nacido, como tú, en un siglo en que la razón no se somete sino al hecho y a la demostración; mi misión está consignada en estas palabras de la ley: ¡habla sin odio y sin miedo di lo que sepas! La obra de la humanidad consiste en construir el templo de la ciencia, y esta ciencia comprende al hombre y a la Naturaleza. Pero la verdad se revela a todos, hoy a Newton y a Pascal, mañana al pastor en el valle, al obrero en el taller. Cada uno aporta su piedra al edificio y, una vez realizado su trabajo, desaparece. La eternidad nos precede, la eternidad nos sigue entre dos infinitos, ¿qué puede importar a nadie la situación de un simple mortal? Olvida, pues, lector, mi nombre y fíjate únicamente en mis razonamientos. Despreciando el consentimiento universal, pretendo rectificar el error universal; apelo a la conciencia del género humano, contra la opinión del género humano. Ten el valor de seguirme, y si tu voluntad es sincera, si tu conciencia es libre, si tu entendimiento sabe unir dos proposiciones para deducir una tercera, mis ideas llegarán infaliblemente a ser tuyas. Al empezar diciéndote mi última palabra, he querido advertirte, no incitarte; porque creo sinceramente que si me prestas tu atención obtendré tu asentimiento. Las cosas que voy a tratar son tan sencillas, tan evidentes, que te sorprenderá no haberlas advertido antes, y exclamarás: «No había reflexionado sobre ello.» Otras obras te ofrecerán el espectáculo del genio apoderándose de los secretos de la Naturaleza y publicando sublimes pronósticos; en cambio, en estas páginas únicamente encontrarás una serie de investigaciones sobre lo justo y sobre el derecho, una especie de comprobación, de contraste de tu propia conciencia. Serás testigo presencial de mis trabajos y no harás otra cosa que apreciar su resultado. Yo no forjo escuela; vengo a pedir el fin del privilegio, la abolición de la esclavitud, la igualdad de derechos, el imperio de la ley. Justicia, nada más que justicia; tal es la síntesis de mi empresa; dejo a los demás el cuidado de ordenar el mundo.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r>
            <w:r w:rsidRPr="001B7F27">
              <w:rPr>
                <w:rFonts w:ascii="Arial" w:eastAsia="Times New Roman" w:hAnsi="Arial" w:cs="Arial"/>
                <w:color w:val="003399"/>
                <w:sz w:val="17"/>
                <w:szCs w:val="17"/>
                <w:lang w:eastAsia="es-AR"/>
              </w:rPr>
              <w:br/>
              <w:t>DE LA PROPIEDAD CÓNSIDERADA COMO DERECHO NATURAL</w:t>
            </w:r>
            <w:r w:rsidRPr="001B7F27">
              <w:rPr>
                <w:rFonts w:ascii="Arial" w:eastAsia="Times New Roman" w:hAnsi="Arial" w:cs="Arial"/>
                <w:color w:val="003399"/>
                <w:sz w:val="17"/>
                <w:szCs w:val="17"/>
                <w:lang w:eastAsia="es-AR"/>
              </w:rPr>
              <w:br/>
              <w:t>DE LA OCUPACION Y DE LA LEY CIVIL COMO CAUSAS EFICIENTES DEL DERECHO DE PROPIEDAD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derecho romano definía la propiedad como el derecho de usar y de abusar de las cosas en cuanto lo autorice la razón del derecho. Se ha pretendido justificar la palabra abusar, diciendo que significa, no el abuso insensato e inmoral, sino solamente el dominio absoluto. Distinción vana, imaginada para la santificación de la propiedad, sin eficacia contra los excesos de su disfrute, los cuales no previene ni reprime. El propietario es dueño de dejar pudrir los frutos en su árbol, de sembrar sal en su campo, de ordeñar sus vacas en la arena, de convertir una viña en erial y de transformar una huerta en monte. ¿Todo esto es abuso, sí o no? En materia de propiedad el uso y el abuso se confunden necesariamente.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Según la Declaración de los derechos del hombre, publicada al frente de la Constitución de 1793, la propiedad es «el derecho que tiene todo hombre de disfrutar y disponer a su voluntad de sus bienes, de sus rentas, del fruto de su trabajo y de su industria».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Código de Napoleón, en su artículo 544, consigna que «la propiedad es el derecho de disfrutar y disponer de las cosas de la manera más absoluta, en tanto no se haga de ellos un uso prohibido por las leyes y los reglamentos».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Ambas definiciones reproducen la del derecho romano: todas reconocen al propietario un derecho absoluto sobre las cosas. Y en cuanto a la restricción determinada por el Código, al decir en tanto que no se haga de ellas un uso prohibido por las leyes y los reglamentos, dicha restricción tiene por objeto no limitar la propiedad, sino impedir que el dominio de un propietario sea obstáculo al dominio de los demás. Es una configuración del principio, no una limitación.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propiedad se distingue: 1.-, la propiedad pura y simple, el derecho señorial sobre la cosa, y 2.-, la posesión. «La posesión -dice Duranton- es una cuestión de hecho, no de derecho.» Y Toullier: «La propiedad es un derecho, una facultad legal; la posesión es un hecho.» El arrendatario, el colono, el mandatario, el usufructuario, son poseedores; el señor que arrienda, que cede el uso, el heredero que sólo espera gozar la cosa al fallecimiento de un usufructuario, son propietarios. Si me fuera permitida una comparación, diría que el amante es poseedor, el marido es propietario.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doble definición de la propiedad como dominio y como posesión es de la mayor importancia, y es necesario no olvidarla si se quiere entender cuanto voy a decir.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la distinción de la posesión y de la propiedad nacen dos especies de derechos: el derecho en la cosa, por el cual puedo reclamar la propiedad que me pertenece de cualquiera en cuyo poder la encuentre; y el derecho a la cosa, por el cual solicito que se me declare propietario. En el caso, la posesión y la propiedad están reunidas; en ello, sólo existe la nuda propiedad.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distinción es el fundamento de la conocida división del juicio en posesorio y petitorio, verdaderas categorías de la jurisprudencia, pues la comprenden totalmente en su inmensa jurisdicción. Petitorio se denomina el juicio que hace relación a su propiedad; posesorio el relativo a la posesión. Al escribir estas páginas contra la propiedad, insto en favor de toda la sociedad una acción petitoria y pruebo que los que hoy nada poseen son propietarios por el mismo titulo que los que todo lo poseen, pero en vez de pedir que la propiedad sea repartida entre todos, solicito que, como medida de orden público, sea abolida para todos. Si pierdo el pleito, sólo nos queda a los propietarios y a mí el recurso de quitarnos de en medio, puesto que ya nada podemos reclamar de la justicia de las naciones, porque, según enseña en su conciso estilo el Código de procedimientos, artículo 26, el demandante cuyas pretensiones hayan sido desestimadas en el juicio petitorio no podrá entablar el posesorio. Si, por el contrario, gano el pleito, ejercitaremos entonces una acción posesoria, a fin de obtener nuestra reintegración en el disfrute de los bienes , que el actual derecho de propiedad nos arrebata. Espero que no tendremos necesidad de llegar a este extremo: pero estas dos acciones no pueden ejercitarse a un tiempo, porque, según el mismo Código de procedimientos, la acción posesoria y la petitoria nunca podrán acumularse.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Antes de entrar en el fondo del asunto, no será inútil presentar aquí algunas cuestiones perjudiciales.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LA PROPIEDAD COMO DERECHO NATURAL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Declaración de los derechos del hombre ha colocado el de propiedad entre los llamados naturales e imprescriptibles, que son, por este orden, los cuatro siguientes: libertad, igualdad, propiedad y seguridad individual. ¿Qué método han seguido los legisladores del 93 para hacer esta enumeración? Ninguno; fijaron esos principios y disertaron sobre la soberanía y las leyes de un modo general y según su particular opinión. Todo lo hicieron a tientas, ligeramente.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creer a Toullier, «los derechos absolutos pueden reducirse a tres: seguridad, libertad, propiedad». ¿Por qué ha </w:t>
            </w:r>
            <w:r w:rsidRPr="001B7F27">
              <w:rPr>
                <w:rFonts w:ascii="Arial" w:eastAsia="Times New Roman" w:hAnsi="Arial" w:cs="Arial"/>
                <w:color w:val="003399"/>
                <w:sz w:val="17"/>
                <w:szCs w:val="17"/>
                <w:lang w:eastAsia="es-AR"/>
              </w:rPr>
              <w:lastRenderedPageBreak/>
              <w:t>eliminado la igualdad? ¿Será porque la libertad la supone, o porque la propiedad la rechaza? El autor del Derecho civil comentado nada dice sobre ello; no ha sospechado siquiera que ahí está el punto de discusión.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si se comparan entre sí estos tres o cuatro derechos, se observa que la propiedad en nada se parece a los otros; que para la mayor parte de los ciudadanos sólo existe en potencia como facultad dormida y sin ejercicio; que para los que la disfrutan es susceptible de determinadas transacciones y modificaciones que repugnan a la cualidad de derecho natural que a la propiedad se atribuye; que en la práctica los gobiernos, los tribunales y las leyes no la respetan; y, en fin, que todo el mundo, espontánea y unánimemente, la juzga quimérica.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libertad es inviolable. Yo no puedo vender ni enajenar mi libertad. Todo contrato, toda estipulación que tenga por objeto la enajenación o la suspensión de la libertad es nulo; el esclavo que pisa tierra de libertad es en el mismo instante libre. Cuando la sociedad detiene a un malhechor y le quita su libertad, obra en legítima defensa; quien quebrante el pacto social cometiendo un crimen, se declara enemigo público, y al atentar a la libertad de los demás, les obliga a que le priven de la suya. La libertad es la condición primera del estado del hombre; renunciar a la libertad equivaldría a renunciar a la cualidad de hombre. ¿Cómo sin libertad podría el hombre realizar sus actos?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Del mismo modo, la igualdad ante la ley no admite restricción ni excepción. Todos los ciudadanos son igualmente admisibles a los cargos públicos; y he aquí por qué, en razón de esta igualdad, la suerte o la edad deciden, en muchos casos, la preferencia. El ciudadano más humilde puede demandar judicialmente al personaje más elevado y obtener un fallo favorable. Si un millonario construyese un palacio en la viña de un pobre labrador, los tribunales podrían condenar al intruso a la demolición del palacio, aunque le hubiese costado millones, al replanteo de la viña y al pago de daños y perjuicios. La ley quiere que toda propiedad legítimamente adquirida sea respetada sin distinción de valor y sin preferencia de personas.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Cierto es que para el ejercicio de algunos derechos políticos suele exigir la ley determinadas condiciones de fortuna y de capacidad. Pero todos los publicistas saben que la intención del legislador no ha sido establecer un privilegio, sino adoptar garantías. Una vez cumplidas las condiciones exigidas por la ley, todo ciudadano puede ser elector y elegible: el derecho, una vez adquirido, es igual para todos, y la ley no distingue entre las personas y los sufragios. No examino en este momento si este sistema es el mejor; basta a mi propósito que en el espíritu de la Constitución y a los ojos de todo el mundo la igualdad ante la ley sea absoluta y que, como la libertad, no pueda ser materia de transacción alguna.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BREVE CONCLUSION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Me permito concluir con la necesidad urgente de aplicar caracteres jurídicos distintos a la propiedad privada que hoy lo envuelve y produce enfrentamientos irreconciliables con los desposeídos trabajadores rurales.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Tanto las encíclicas sociales como el socialismo, reconocen dos tipos de propiedad, la destinada a la producción y la destinada para uso personal.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primera es la que debe legislarse con la “hipoteca” que habla la doctrina social de la Iglesia siendo directamente proporcional al interés social de la que habla la Constitución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Propongo que el interés social debe ser descripta desapasionadamente en la ley, debe contener un interés nacional (no grupal), de desarrollo, estabilidad y seguridad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aplicación del interés social debe sobrevenir después de un proceso de formación de interés mutuo entre el propietario y los productores rurales, que asegure el uso del suelo, y la aplicación correcta de lo convenido.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Finalmente propongo un estudio mas acabado de esta propuesta.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BIBLIOGRAFIAS Y DOCUMENTACIONES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Constituciones de América</w:t>
            </w:r>
            <w:r w:rsidRPr="001B7F27">
              <w:rPr>
                <w:rFonts w:ascii="Arial" w:eastAsia="Times New Roman" w:hAnsi="Arial" w:cs="Arial"/>
                <w:color w:val="003399"/>
                <w:sz w:val="17"/>
                <w:szCs w:val="17"/>
                <w:lang w:eastAsia="es-AR"/>
              </w:rPr>
              <w:br/>
              <w:t>Argentina - Bolivia - Chile - Colombia - Costa Rica - Cuba - Ecuador -</w:t>
            </w:r>
            <w:r w:rsidRPr="001B7F27">
              <w:rPr>
                <w:rFonts w:ascii="Arial" w:eastAsia="Times New Roman" w:hAnsi="Arial" w:cs="Arial"/>
                <w:color w:val="003399"/>
                <w:sz w:val="17"/>
                <w:szCs w:val="17"/>
                <w:lang w:eastAsia="es-AR"/>
              </w:rPr>
              <w:br/>
              <w:t xml:space="preserve">México - Nicaragua - Panamá - Paraguay - Perú - Rca. Dominicana - </w:t>
            </w:r>
            <w:r w:rsidRPr="001B7F27">
              <w:rPr>
                <w:rFonts w:ascii="Arial" w:eastAsia="Times New Roman" w:hAnsi="Arial" w:cs="Arial"/>
                <w:color w:val="003399"/>
                <w:sz w:val="17"/>
                <w:szCs w:val="17"/>
                <w:lang w:eastAsia="es-AR"/>
              </w:rPr>
              <w:br/>
              <w:t>Uruguay - Venezuela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The Noblest of The Triumphs - La prosperidad a través de los tiempos-</w:t>
            </w:r>
            <w:r w:rsidRPr="001B7F27">
              <w:rPr>
                <w:rFonts w:ascii="Arial" w:eastAsia="Times New Roman" w:hAnsi="Arial" w:cs="Arial"/>
                <w:color w:val="003399"/>
                <w:sz w:val="17"/>
                <w:szCs w:val="17"/>
                <w:lang w:eastAsia="es-AR"/>
              </w:rPr>
              <w:br/>
              <w:t>Tom Bethell (trad. Adolfo Rivero)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Encíclica Rerum Novarum </w:t>
            </w:r>
            <w:r w:rsidRPr="001B7F27">
              <w:rPr>
                <w:rFonts w:ascii="Arial" w:eastAsia="Times New Roman" w:hAnsi="Arial" w:cs="Arial"/>
                <w:color w:val="003399"/>
                <w:sz w:val="17"/>
                <w:szCs w:val="17"/>
                <w:lang w:eastAsia="es-AR"/>
              </w:rPr>
              <w:br/>
              <w:t>Papa León XIII-1891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Encíclica Laborem Excersen</w:t>
            </w:r>
            <w:r w:rsidRPr="001B7F27">
              <w:rPr>
                <w:rFonts w:ascii="Arial" w:eastAsia="Times New Roman" w:hAnsi="Arial" w:cs="Arial"/>
                <w:color w:val="003399"/>
                <w:sz w:val="17"/>
                <w:szCs w:val="17"/>
                <w:lang w:eastAsia="es-AR"/>
              </w:rPr>
              <w:br/>
              <w:t>Papa Juan Pablo II-1981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reto de la reforma agraria: para una mejor distribución de la tierra.</w:t>
            </w:r>
            <w:r w:rsidRPr="001B7F27">
              <w:rPr>
                <w:rFonts w:ascii="Arial" w:eastAsia="Times New Roman" w:hAnsi="Arial" w:cs="Arial"/>
                <w:color w:val="003399"/>
                <w:sz w:val="17"/>
                <w:szCs w:val="17"/>
                <w:lang w:eastAsia="es-AR"/>
              </w:rPr>
              <w:br/>
              <w:t xml:space="preserve">Documento del Pontificio Consejo justicia y Paz - </w:t>
            </w:r>
            <w:r w:rsidRPr="001B7F27">
              <w:rPr>
                <w:rFonts w:ascii="Arial" w:eastAsia="Times New Roman" w:hAnsi="Arial" w:cs="Arial"/>
                <w:color w:val="003399"/>
                <w:sz w:val="17"/>
                <w:szCs w:val="17"/>
                <w:lang w:eastAsia="es-AR"/>
              </w:rPr>
              <w:br/>
              <w:t>Publicado Vaticano 13-I-1998.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Manifiesto del Partido Comunista - 1848</w:t>
            </w:r>
            <w:r w:rsidRPr="001B7F27">
              <w:rPr>
                <w:rFonts w:ascii="Arial" w:eastAsia="Times New Roman" w:hAnsi="Arial" w:cs="Arial"/>
                <w:color w:val="003399"/>
                <w:sz w:val="17"/>
                <w:szCs w:val="17"/>
                <w:lang w:eastAsia="es-AR"/>
              </w:rPr>
              <w:br/>
              <w:t>Karl Marx y Federico Engels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origen de la familia, la propiedad privada y el Estado</w:t>
            </w:r>
            <w:r w:rsidRPr="001B7F27">
              <w:rPr>
                <w:rFonts w:ascii="Arial" w:eastAsia="Times New Roman" w:hAnsi="Arial" w:cs="Arial"/>
                <w:color w:val="003399"/>
                <w:sz w:val="17"/>
                <w:szCs w:val="17"/>
                <w:lang w:eastAsia="es-AR"/>
              </w:rPr>
              <w:br/>
              <w:t>Federico Engels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es la propiedad privada?</w:t>
            </w:r>
            <w:r w:rsidRPr="001B7F27">
              <w:rPr>
                <w:rFonts w:ascii="Arial" w:eastAsia="Times New Roman" w:hAnsi="Arial" w:cs="Arial"/>
                <w:color w:val="003399"/>
                <w:sz w:val="17"/>
                <w:szCs w:val="17"/>
                <w:lang w:eastAsia="es-AR"/>
              </w:rPr>
              <w:br/>
              <w:t xml:space="preserve">André Proudhon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38"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3" w:name="3"/>
            <w:bookmarkEnd w:id="3"/>
            <w:r w:rsidRPr="001B7F27">
              <w:rPr>
                <w:rFonts w:ascii="Arial" w:eastAsia="Times New Roman" w:hAnsi="Arial" w:cs="Arial"/>
                <w:b/>
                <w:bCs/>
                <w:color w:val="009933"/>
                <w:sz w:val="20"/>
                <w:szCs w:val="20"/>
                <w:lang w:eastAsia="es-AR"/>
              </w:rPr>
              <w:t>" ¿Qué es Law &amp; Economics ...y a quién le importa?"</w:t>
            </w:r>
            <w:r w:rsidRPr="001B7F27">
              <w:rPr>
                <w:rFonts w:ascii="Arial" w:eastAsia="Times New Roman" w:hAnsi="Arial" w:cs="Arial"/>
                <w:color w:val="003399"/>
                <w:sz w:val="17"/>
                <w:szCs w:val="17"/>
                <w:lang w:eastAsia="es-AR"/>
              </w:rPr>
              <w:br/>
              <w:t>Roberto Moreno Rodríguez-Alcalá</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Filosofía del Derecho, Deontología Jurídica</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39"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gran ausente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le ha llamado la atención el título provocativo de este trabajo (y esto es obvio, ya que de lo contrario no estaría leyendo estas líneas), esta sola frase ha tenido ya más éxito en nuestro país que uno de los movimientos más influyentes e importantes de la literatura jurídica mundial en la actualidad: el excursus interdisciplinario conocido comúnmente como Law &amp; Economics2.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efecto, lo que ha sido calificado como “el desarrollo más importante en los últimos años en el campo del derecho y la escuela jurisprudencial más influyente en la actualidad”3, “el enfoque dominante del derecho actual”4, y cuyo efecto ha sido comparado con el de una “verdadera bomba que ha caído en el espacio académico revolucionando el pensamiento jurídico contemporáneo”5, ha pasado absolutamente desapercibido en el ámbito jurídico paraguayo, tanto a nivel académico (en las Facultades de Derecho), doctrinal (libros o monografías) como jurisprudencial (fallos en todos los fueros e instancias).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Muchas razones pueden explicar el desconocimiento absoluto de este movimiento en nuestro país, y su enumeración ameritaría sin dudas una investigación aparte. Sin embargo, no podemos dejar de aventurar algunas causas hipotéticas.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primer lugar, nuestra cultura jurídica, al igual que la mayoría de las otras áreas de la educación y formación profesional6, vive hace tiempo aislada en una solitaria isla, y a espaldas de los avances (espectaculares) que se van produciendo en el conocimiento científico y jurídico, con la excepción quizás de Argentina, país del cual Paraguay sigue siendo – a pesar de los esfuerzos de juristas de la generación “dorada” de nuestro derecho7 - una verdadera </w:t>
            </w:r>
            <w:r w:rsidRPr="001B7F27">
              <w:rPr>
                <w:rFonts w:ascii="Arial" w:eastAsia="Times New Roman" w:hAnsi="Arial" w:cs="Arial"/>
                <w:color w:val="003399"/>
                <w:sz w:val="17"/>
                <w:szCs w:val="17"/>
                <w:lang w:eastAsia="es-AR"/>
              </w:rPr>
              <w:lastRenderedPageBreak/>
              <w:t xml:space="preserve">colonia jurídica. Este hecho es harto conocido y afecta a todas las ramas del Derecho, pero basta con el ejemplo del escaso desarrollo que ha tenido en nuestro país la Filosofía del Derecho, lo que se patentiza en los programas de estudio de la materia, muchas veces desactualizados. En efecto, luego de ver los mismos, parecería que la iusfilosfía ha terminado con Kelsen y su positivismo lógico, mientras que nombres o movimientos filosóficos como Hart, Dworkin, Bobbio, Alexy, Ross, Finnis, Rawls, la escuela analítica, el realismo jurídico americano, el realismo escandinavo, la escuela crítica del derecho, la jurisprudencia de intereses y la jurisprudencia de valores alemana, el posmodernismo (y también Law &amp; Economics), sencillamente no existen8. Las causas del atraso en cuestiones jurídicas probablemente sean las mismas de la educación paraguaya en general, aunque sin duda se ven apuntaladas por el tradicional conservadurismo que aqueja a los juristas en general y el anquilosamiento que sufren nuestros centros de formación legales (léase “Facultades”). En este sentido, una de las causas principales para el desconocimiento del movimiento Law &amp; Economics en nuestro país sería, paradójicamente, su actualidad; quizás con el transcurrir de los años, cuando pierda su carácter novedoso y se vuelva un movimiento demodé, tal vez ahí se vuelva conocido en nuestro país.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Otra causa que explica el desconocimiento de Law &amp; Economics en nuestro ámbito jurídico reside en que el mismo aún no ha sido “exportado” al Paraguay. Esto merece una breve explicación. El movimiento ha nacido y se ha fortalecido en los Estados Unidos, que actualmente tiene la cultura académica más fuerte del mundo. Por ello, las Universidades norteamericanas han atraído por diversas cuestiones (que incluyen las económicas) a profesores y futuros profesores de todo el mundo, quiénes se imbuyen de las doctrinas jurídicas en los law schools y posteriormente retornan a sus países y desarrollan las ideas. En gran parte de los países donde Law &amp; Economics ha tenido un impacto interesante, como España, Italia, Holanda, Méjico y últimamente Argentina9, ha sido porque sus doctrinas fueron justamente “exportadas” a través de un intenso intercambio académico entre Profesores norteamericanos y los de cada país. En nuestro país el flujo y reflujo de juristas y profesores de derecho es - aún en pleno auge de la globalización - mínimo. Los (ínfimos) contactos se reducen mayoritariamente a profesores argentinos; las Facultades de Derecho no efectúan programas de intercambio ni traen Profesores extranjeros invitados; y el número de profesionales que accede a posgrados en el extranjero – aunque ha crecido en sobre todo en la últimas dos décadas - aún no es lo suficientemente importante para producir cambios en el escenario jurídico.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Tampoco debe subestimarse la reticencia – y hasta sospecha - que existe en nuestros países por todo lo que viene de los Estados Unidos, en especial en materia de ideas, lo que parafraseando a Rodó podemos llamar nordofobia10. Esta desconfianza – sobre todo de las clases intelectuales – ha ido in crescendo con las últimas nada espectaculares crisis socio-económicas de nuestros países periféricos. La resistencia y suspicacia a las ideas que vienen del norte es un fenómeno cultural innegable, que sin duda retardará y hasta minimizará los avances del Law &amp; Economics en nuestro país, al existir una predisposición francamente negativa hacia un movimiento de carácter ostensiblemente yanki.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cualquier caso, en el presente trabajo intentaremos responder a la provocativa pregunta que nos hemos planteado mediante un estudio de los postulados básicos, la historia, los aportes y las críticas que se le han hecho a este movimiento jurisprudencial, el cual ha revolucionado el análisis jurídico tradicional. Y asimismo esperamos que al concluir el mismo ya no sea necesario responder a la segunda parte de la pregunta, es decir, que quede claro a quiénes debería interesar lo que es Law &amp; Economics. Lo contrario nos indicaría que nuestro trabajo no cumplió con su objetivo a cabalidad.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Supuestos, abrelatas y otras yerbas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sola denominación del movimiento, Law &amp; Economics, nos da la pauta que estamos ante un enfoque interdisciplinario que involucra dos importantes ramas del conocimiento social: el derecho y la economía. El enfoque interdisciplinario no es nuevo en el campo de las ciencias sociales. Los estudiosos de los problemas de la sociedad han insistido en forma reiterada sobre los beneficios de combinar las enseñanzas y resultados de sus distintas materias, a través del enfoque interdisciplinario.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economía no ha sido ajena a los avatares interdisciplinarios, y en muchos casos, ha liderado esta interconexión de enfoques entre las disciplinas sociales. La importancia que se le ha otorgado a la misma en otros campos de estudio social es inmemorial; basta citar el ejemplo de Marx, quién hace ya más de ciento cincuenta años le había otorgado un papel principal para la comprensión de la Historia, o a Weber, quién hizo lo propio para la Sociología a principios del siglo XX con su opus que tenía un título bastante ilustrativo: “Economía y Sociedad”.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Podría pensarse que Law &amp; Economics es justamente más de lo mismo, es decir, utilizar datos extraídos de la economía para dilucidar conceptos jurídicos o proponer políticas legislativas. Esto había sido ya propuesto por algunos civilistas de la talla de un Planiol, quién proponía el auxilio de la Economía Política para entender ciertos aspectos del Derecho11, o de Carbonnier, quién en su obra – única en muchos aspectos en la literatura tradicional – analizaba las diversas instituciones del derecho civil desde diversos campos, entre ellos la Economía. Sin embargo, todos estos esfuerzos siempre se han enmarcado dentro del método jurídico tradicional, de la estructura del pensamiento dogmático.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lo que caracteriza singularmente al Law &amp; Economics es que va mucho más allá y revoluciona el concepto de </w:t>
            </w:r>
            <w:r w:rsidRPr="001B7F27">
              <w:rPr>
                <w:rFonts w:ascii="Arial" w:eastAsia="Times New Roman" w:hAnsi="Arial" w:cs="Arial"/>
                <w:color w:val="003399"/>
                <w:sz w:val="17"/>
                <w:szCs w:val="17"/>
                <w:lang w:eastAsia="es-AR"/>
              </w:rPr>
              <w:lastRenderedPageBreak/>
              <w:t xml:space="preserve">“estudio interdisciplinario” entre varias ciencias sociales. En este sentido podemos hablar de la existencia de un “programa fuerte” de enfoque económico del derecho que pone énfasis en un miembro de la pareja: la economía.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efecto, Law &amp; Economics no se limita a aplicar datos producidos por economistas al análisis del derecho, sino mucho más: significa importar los métodos y sistemas que se utilizan en el estudio de la economía y estudiar el Derecho a través de los mismos. En este sentido, el movimiento propone una verdadera revolución en el campo del derecho, un cambio paradigmático en el sentido más puro del término kuhneano12. En el análisis económico del derecho todos los métodos tradicionalmente utilizados por los juristas, como por ejemplo la lógica, la analogía, la deducción (o inducción), el análisis del lenguaje, las construcciones conceptuales, etc. son desechados y reemplazados por los utilizados por los economistas: la teoría de los precios, la teoría de la elección racional, el óptimo Pareto, la maximización de utilidades, la eficiencia,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Explicado en los términos de uno de los autores señeros del movimiento, el secreto para comprender Law &amp; Economics, consiste en “aprender a pensar como un economista sobre las normas jurídicas”, lo cual significa “construir modelos verbales, gráficos o matemáticos a fin de desentrañar el objeto estudiado para llegar al estudio del derecho con un enfoque económico”13.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Law &amp; Economics significa pensar como un economista, es decir, “ponerse en el estado mental de un economista”, cabe preguntarse entonces, ¿cómo exactamente piensa un economista? Lo primero que hay que saber sobre los economistas es que los mismos asumen muchas cosas para simplificar la compleja realidad. Por ello, no puede subestimarse el rol trascendental que tienen los “supuestos económicos” (assumptions) en el contexto de la economía en general y de Law &amp; Economics en particular. Para entender esto, nada mejor que el famoso chiste del abrelatas14: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 físico, un químico y un economista naufragan en una isla desierta solo con una lata de frijoles cerrada para comer. El físico propone un complicado experimento midiendo el peso de la lata y la velocidad a la que puede lanzarse a fin de que se abra. El químico, por su parte propone exponer la lata a una mezcla de fuego y frío por treinta y siete segundos y ahí se abriría la lata. El economista, perplejo ante las complejidades y difíciles experimentos propuestos por sus colegas, sonríe y propone su sencilla y lógica solución: “Señores, la solución es simple: asumamos que tenemos un abrelatas”.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chiste, si bien exagerado, nos dice mucho respecto de la particular forma de ver el mundo que tienen los economistas. En efecto, los economistas parten del punto que es difícil – o mejor, imposible – estudiar los fenómenos sociales sin hacer simplificaciones y asumir ciertas ideas. Al ser el objeto de la economía harto complejo, los enfoques metodológicos toman entonces como punto de partida la necesaria simplificación de los mismos, lo cual significa “suponer” o “asumir” ciertas condiciones – como por ejemplo, que todas las personas en todas sus acciones actúan como sujetos racionales maximizadores de utilidad - el problema en forma simplificada. Como ha señalado Polinsky, “el arte de la economía es utilizar supuestos que simplifiquen el problema estudiado para su mejor comprensión”15.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efecto, como veremos más adelante, toda la literatura del análisis económico del derecho descansa sobre un supuesto: la teoría de la elección racional (rational choice theory). Si no se acepta este supuesto, sería imposible concebir la existencia de Law &amp; Economics.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Ok, Derecho y Economía, ¿pero que queremos decir exactamente con “Economía”?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Ahora que sabemos que Law &amp; Economics consiste en aplicar las técnicas y métodos de la ciencia económica para estudiar el derecho, debemos referirnos necesariamente a lo que entendemos por “Economía”.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primero que debemos aclarar es que al hablar de “economía”, no nos estamos refiriendo en forma exacta a lo que Adam Smith, Ricardo o Stuart Mill, o siquiera Keynes o Von Mises entendían por “Economía”. La teoría económica que ha permitido el nacimiento del enfoque económico del derecho es la denominada “economía (o microeconomía) neoclásica”, en contraposición justamente a la clásica, la marxista, la keynesiana, e inclusive a otras escuelas contemporáneas, como la escuela austríaca16,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economía neoclásica es el enfoque dominante en la actualidad en la ciencia económica, al punto que un destacado profesor ha afirmado en forma expresiva que “somos todos neoclásicos ahora, hasta los keynesianos”17. El éxito de la economía neoclásica se basa en su simplicidad – tres o cuatro supuestos básicos son su fundamento – y asimismo en la rápida expansión que ha tenido en círculos académicos.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enseña Bunge, no puede señalarse la fecha exacta o el momento a partir del cual la economía neoclásica se convierte en la doctrina corriente. Para este autor, la teoría económica neoclásica ha estado en el candelero desde alrededor de 1870, punto sobre el cual coincide Samuelson. Este señala que los trabajos de Jevons, Menger y Walras a fines del novecento deben ser considerados como las principales fuentes del reverdecer neoclásico18, que alcanza su summum con los trabajos de Marshall en Inglaterra a principios del Siglo XX y los importantes trabajos metodológicos de autores de la escuela de Chicago, en especial Milton Friedman19.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El enfoque neoclásico parte del concepto de la escasez de recursos: el mundo tiene un número limitado de bienes. Por tanto, lo importante es la elección (choice); como van a elegir los sujetos de mejor manera sus preferencias y como van a utilizar sus recursos. Se presume que los actores siempre actuarán en forma racional e intentarán utilizar los recursos escasos de la mejor manera, maximizando su utilización e intentando siempre llegar a la eficiencia. Por ello la metodología económica gira alrededor del pilar inamovible de la “elección racional”20.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método económico: supuestos básicos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delimitaciones efectuadas en la sección anterior son suficientes para aclarar que cuando hablamos en este contexto de economía, generalmente nos referimos a la microeconomía neoclásica, o como también se la conoce, teoría de los precios. Sin embargo, aún no hemos dicho nada respecto al método en sí de la economía para estudiar su objeto.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 común ver que entre los propios economistas existan profundas divergencias sobre su objeto de estudio; es más, hay incluso clichés famosos al respecto, como la frase de Robbins: “Todos hablamos de lo mismo, pero todavía no nos hemos puesto de acuerdo acerca de qué estamos hablando”21. Pero si bien tienen sus diferencias de fondo - muchas veces irreconciliables – los economistas siguen en la práctica un enfoque que se basa en la adopción de una serie de supuestos económicos. La clave a la hora de entender el método económico es la palabra “enfoque”: lo esencial no es el objeto de estudio de la economía sino la particular forma a través de la cual los economistas ven el mundo.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idea queda ejemplificada claramente en los trabajos del Premio Nóbel en Economía Gary Becker, quién además como veremos ha sido una figura influyente en la formación del movimiento Law &amp; Economics con sus estudios del crimen y la familia. Becker, al preguntarse que distingue a la economía de las de otras disciplinas académicas que estudian al comportamiento humano, como la sociología o la politología, concluye que lo que diferencia a la economía de las demás ciencias sociales no es su objeto, sino su “enfoque” 22. La tesis de Becker, en otros términos, puede simplificarse de la siguiente forma: lo que define la tarea del economista no es “lo que estudia”, sino “como lo hace”.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el propio Becker se encarga de dilucidar, el enfoque económico se basa en la conjunción de una serie de “supuestos”, que como ya hemos visto, son esenciales para los economistas, y que permite formular modelos que expliquen el comportamiento humano de una manera más científica. Los supuestos económicos esenciales – y que se hallan en el corazón mismo de cualquier libro o artículo de Law &amp; Economics – son los siguientes23: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Individualismo metodológico: todo análisis económico debe referirse exclusivamente al comportamiento de los individuos y todos los fenómenos colectivos deben explicarse a través de las acciones individuales. Es el enfoque opuesto a otros como el colectivismo o el sistemismo: lo que importa es el individuo.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Teoría de la elección racional: se parte del supuesto que todos los agentes económicos actuán maximizando sus satisfacciones o utilidades; los individuos generalmente parten de un análisis costo – beneficio para satisfacer de manera más completa sus necesidades. Este, como hemos dicho, es un supuesto fundamental de la teoría económica y del análisis económico del derecho, al punto que se ha definido al mismo como la “aplicación de la teoría de la elección racional al derecho”24.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Equilibrio: es el supuesto según el cual para los economistas, todos los fenómenos sociales de interacción se producen dentro de un marco de equilibrio; las interacciones sociales están en equilibrio o tienden hacia el.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Preferencias estables: a fin de hacer predicciones de la acciones de los individuos, es necesario suponer que sus preferencias se mantendrán constantes en un corto plazo; lo contrario haría imposible explicar el comportamiento humano.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refinamiento de este método, sintetizado en el punto a) y desarrollado con los demás supuestos, ha dejado el campo fértil para el desarrollo de una explicación económica del fenómeno jurídico. Pero ha sido mucho más que eso. Ha fijado el derrotero que debe seguir – según sus adherentes – el derecho.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Justicia: ha muerto la justicia, ¡viva la eficiencia!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aplicación del enfoque económico que acabamos de describir a los fenómenos jurídicos es “el análisis económico del derecho”. La adopción de dichos supuestos, y en especial, de la teoría de la elección racional, tiene varias consecuencias directas e indirectas, y revoluciona el análisis tradicional del derecho que utilizaba métodos lógicos y lingüísticos tradicionales.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quizás la consecuencia más importante de la adopción del enfoque económica, y la que diferencia de manera más notoria al Law &amp; Economics de las demás teorías que han intentado explicar el fenómeno jurídico es el abandono del concepto tradicional de “justicia”. Mientras las ideas tradicionales del derecho a través de la historia </w:t>
            </w:r>
            <w:r w:rsidRPr="001B7F27">
              <w:rPr>
                <w:rFonts w:ascii="Arial" w:eastAsia="Times New Roman" w:hAnsi="Arial" w:cs="Arial"/>
                <w:color w:val="003399"/>
                <w:sz w:val="17"/>
                <w:szCs w:val="17"/>
                <w:lang w:eastAsia="es-AR"/>
              </w:rPr>
              <w:lastRenderedPageBreak/>
              <w:t xml:space="preserve">han tenido – y tienen – como marco y fundamento el concepto de justicia – el derecho como instrumento social para alcanzar la justicia – los economistas-juristas plantean su derrocamiento en aras al concepto económico de eficiencia.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adopción del principio de eficiencia, y la indiferencia y hasta el desprecio hacia la justicia, puede ser quizás el aspecto más chocante del análisis económico del derecho para un estudioso convencional. Pero esto no debe sorprender, ya que no es más que una consecuencia lógica de la forma de ver el mundo que tienen los economistas en general, y los analistas económicos del derecho en particular.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planteamiento puede ser configurado de la siguiente manera: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a)vivimos en un mundo de recursos limitados y escasos; </w:t>
            </w:r>
            <w:r w:rsidRPr="001B7F27">
              <w:rPr>
                <w:rFonts w:ascii="Arial" w:eastAsia="Times New Roman" w:hAnsi="Arial" w:cs="Arial"/>
                <w:color w:val="003399"/>
                <w:sz w:val="17"/>
                <w:szCs w:val="17"/>
                <w:lang w:eastAsia="es-AR"/>
              </w:rPr>
              <w:br/>
              <w:t xml:space="preserve">b)la economía se ocupa entonces de la elección; como elegirán gastar esos recursos los individuos; </w:t>
            </w:r>
            <w:r w:rsidRPr="001B7F27">
              <w:rPr>
                <w:rFonts w:ascii="Arial" w:eastAsia="Times New Roman" w:hAnsi="Arial" w:cs="Arial"/>
                <w:color w:val="003399"/>
                <w:sz w:val="17"/>
                <w:szCs w:val="17"/>
                <w:lang w:eastAsia="es-AR"/>
              </w:rPr>
              <w:br/>
              <w:t xml:space="preserve">c)los individuos son racionales, maximizan siempre los recursos escasos a fin de obtener la mayor ganancia posible dentro de un esquema costo-beneficio; </w:t>
            </w:r>
            <w:r w:rsidRPr="001B7F27">
              <w:rPr>
                <w:rFonts w:ascii="Arial" w:eastAsia="Times New Roman" w:hAnsi="Arial" w:cs="Arial"/>
                <w:color w:val="003399"/>
                <w:sz w:val="17"/>
                <w:szCs w:val="17"/>
                <w:lang w:eastAsia="es-AR"/>
              </w:rPr>
              <w:br/>
              <w:t xml:space="preserve">(d) las acciones de los individuos (racionales) tienden siempre a la utilización óptima de los recursos, es decir, a la eficiencia.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eficiencia pasa así a ser no solo el fundamento, sino el fin del derecho. Esto lo ha explicado en forma clara Mattei: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cambio de enfoque propuesto por Law and Economics va al corazón del discurso jurídico: en vez de preocuparse por la justicia, el análisis legal debe enfocar a la eficiencia.... La tarea jurídica no debe ser guiada por la justicia. Debe guiarse por la eficiencia. Consecuentemente, los abogados no deben preocuparse en dividir la torta, sino en hacer la mas grande posible. Su rol no es el de cortar los pedazos de la torta de una manera más justa.. ese es trabajo de la política25.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que es exactamente la eficiencia? Generalmente, los analistas económicos del derecho se refieren en términos simples a la eficiencia como “hacer la torta lo más grande posible”. En otras palabras, hacer más rica a la sociedad. Pero los economistas (y los economistas-juristas) manejan también algunos conceptos técnicos para describir una situación eficiente: Pareto optimo (del cual nos ocuparemos más adelante), Kaldor Hicks y la noción de “maximización de riqueza” expuesta principalmente por Posner26. Justamente esta ha sido una de las críticas proferidas al movimiento: el hecho que el término “eficiencia” es usado muchas veces en forma vaga e imprecisa por los economistas, lo cual ha contribuido a obscurecer en vez de iluminar su análisis27.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 que si queda es que el término eficiencia guía todo el discurso de Law &amp; Economics: las normas jurídicas solo pueden justificarse en la medida a que tienden a la eficiencia. Las nociones tradicionales de justicia - tanto en su aspecto de justicia correctiva, justicia distibutiva, justicia como igualdad, etc. - son absolutamente indiferente para el análisis económico del derecho. La aplicación de estos conceptos en casos concretos, se ha afirmado, puede tener un efecto perjudicial sobre la eficiencia en el manejo de los recursos, y lo que es más importante, sobre el bienestar económico de las personas28. No debe sorprender, en consecuencia, encontrar frases como las siguientes en boca de los analistas económicos del derecho,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análisis jurídico) debe prescindirse del concepto de la justicia, el cual no sirve para dar una explicación adecuada de lo que es el derecho, debido en primer lugar a que es irrelevante a un número sorprendente de casos jurídicos concretos, y en segundo lugar a que no existe una teoría adecuada y aceptada que determine cuando una norma es justa y cuando es injusta29”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nociones clásicas de justicia, como la correctiva y retributiva son omitidas del análisis económico del derecho .... ya que en el enfoque económico las nociones de justicia no tienen una importancia intrínseca porque no afectan en forma directa el bienestar de los individuos”30.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concepto amplio de eficiencia ha sido, es, y continuará siendo, el eje del análisis económico del derecho.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derecho como mecanismo de incentivos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normas jurídicas que componen un ordenamiento jurídico tienen varias consecuencias, pero para el análisis económico tienen un efecto principal: influyen directamente sobre el comportamiento de las personas. Esto es más evidente en algunos casos que en otros. Por ejemplo, una ley que establezca exenciones fiscales para las sociedades que coticen en la Bolsa, probablemente hará que un gran número de empresas cambien su tipo social de S.R.L. a S.A. y que adopten la denominación S.A.E.C.A.31 Pero en algunos casos esto es menos evidente: una norma que establezca la responsabilidad absoluta (y objetiva) de los fabricantes y proveedores por productos defectuosos, a más de proteger al consumidor y establecer una norma de responsabilidad civil, lo que en realidad hace es afectar el precio del producto, que pasará a incluir el costo de esta responsabilidad, por lo que el daño se traslada nuevamente al protegido en primer lugar: el consumidor.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los economistas están interesados principalmente en el comportamiento de los individuos, es lógico que </w:t>
            </w:r>
            <w:r w:rsidRPr="001B7F27">
              <w:rPr>
                <w:rFonts w:ascii="Arial" w:eastAsia="Times New Roman" w:hAnsi="Arial" w:cs="Arial"/>
                <w:color w:val="003399"/>
                <w:sz w:val="17"/>
                <w:szCs w:val="17"/>
                <w:lang w:eastAsia="es-AR"/>
              </w:rPr>
              <w:lastRenderedPageBreak/>
              <w:t xml:space="preserve">desde una perspectiva económica se observen a las normas jurídicas no dentro de la visión clásica de “deberes jurídico respaldados con sanciones estatales” sino como “incentivos que determinan la conducta de las personas hacia determinados objetivos”.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Desde este punto de vista, al analista económico del derecho no le interesa tanto responder a preguntas tradicionales como ¿es válida la norma A? o ¿puede interpretarse dicha norma con otra en forma analógica para llenar la laguna legal?, sino que le interesa más bien responder a otras preguntas: ¿cómo afectará una norma que prohíbe hacer A a la conducta de el sujeto B? ¿Bajo que condiciones considerará este sujeto que es más eficiente seguir la prohibición de la norma A, y bajo que condiciones decidirá violar la norma A por ser más conveniente a su elección?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ser más precisos aún, ¿cómo afectará al sistema la adopción de una regla que imponga la responsabilidad civil objetiva absoluta, sea que estemos ante un accidente común, un accidente de tránsito o un acto ilícito de un ente estatal? O mejor, ¿cómo afectará al régimen procesal una norma establezca la imposición de costas en todos los litigios a ambas partes por su orden? O, finalmente, ¿qué cambios en la conducta criminal produciría la adopción de penas carcelarias mas largas en nuestro Código Penal, como la cadena perpetua?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explican Cooter &amp; Ulen,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leyes no son solo argumentos arcanos técnicos: son instrumentos para lograr importantes metas sociales. A fin de conocer los efectos de las leyes, los jueces y otros legisladores deben poseer un método para evaluar los efectos de las leyes sobre importantes valores sociales. La economía pronostica los efectos de las políticas sobre la eficiencia, la cual es siempre relevante para la elaboración de las mismas, ya que siempre es mejor el logro de cualquier política a un costos menor”32.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Queda claro que la adopción de los esquemas propios de Law &amp; Economics significa una profunda divergencia con el enfoque corriente que ve a las normas jurídicas como construcciones lingüísticas técnicas (visión idealista del derecho). Esta concepción – árida en demasía para el economista práctico - es abandonada por una visión netamente instrumentalista: las normas son incentivos a los cuales responden los individuos y son analizadas siempre más adecuadamente desde este punto de vista33. Pero, recordemos, el análisis debe hacerse siempre en el marco de la eficiencia.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cómo la justicia se transformó en eficiencia: breve historia del movimiento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cultores del Law &amp; Economics han tratado en sus diversas obras de darle al movimiento un pedigree respetable, como siempre suele ocurrir en el ámbito académico. En este sentido, han trazado las raíces del movimiento a destacados filósofos y economistas, principalmente a Jeremías Bentham y su obra Introducción a los Principios de Moral y Legislación34. Asimismo, no ha faltado quién haya indicado la existencia de dos períodos de Law &amp; Economics: el primero que se dio en los años 30 y 40, relativos al estudio de las leyes antimonopolicas (y a otros aspectos económicos de la legislación en época del New Deal), y el segundo período que sería el actual. Sin embargo, un tratamiento más cercano a la realidad de la cuestión – también más aceptable – indica que el movimiento es sin lugar a dudas un fenómeno propio de la segunda mitad del siglo XX, y tuvo su mayor impulso desde un centro académico específico: la Universidad de Chicago35.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dificultad de hallar una fecha exacta del movimiento ha llevado a una figura central del mismo a fijarlo entre dos fechas: 1958 y 197336. La primera, 1958, es el lanzamiento del prestigioso Journal of Law and Economics o Revista del Derecho y Economía, publicación que reúne artículos de expertos en las dos áreas. La segunda fecha, 1973, coincide con la aparición de la primera obra – y la más famosa – que explica en forma sistemática el fenómeno jurídico todo a través del lente economista: el Economic Analysis of Law (“Análisis Económico del Derecho”) de Richard Posner.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si existe un 12 de octubre de 1492 para el movimiento esa fecha se situaría en el año 1961. En este año fueron publicados los dos artículos pioneros que resultaron ser fundamentales para Law &amp; Economics, y sin los cuales seguramente no estaríamos escribiendo estas líneas (o las mismas dirían seguramente cosas muy diferentes).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primero de estos trabajos es el artículo del economista Ronald Coase titulado “The Problem of Social Cost” (“El Problema del Costo Social”), que si bien fue escrito en 1960 recién fue publicado en 1961 en el Journal of Law and Economics. Este artículo no solo ha sido uno de los más citados en la historia de la economía, sino que dio pie a lo que fue llamado el Teorema de Coase – piedra angular de la literatura económica del derecho – y cuya importancia amerita un tratamiento in extenso más adelante. El segundo artículo fue obra de un jurista italoamericano que aplicó teorías y conceptos económicos para el estudio del derecho de responsabilidad civil (torts law), con resultados sorprendentes: Guido Calabresi. Este profesor de la Facultad de Derecho de Yale, publicó en 1961 su artículo “Some Thougths on Risk Distribution and the Law of Torts” en la Revista Jurídica de Yale, en el cual repiensa el derecho de responsabilidad civil en base a los criterios netamente económicos de distribución de riesgos y eficiencia.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los años 60 y a partir de las incitantes ideas de Calabresi y Coase (especialmente de este último), el movimiento </w:t>
            </w:r>
            <w:r w:rsidRPr="001B7F27">
              <w:rPr>
                <w:rFonts w:ascii="Arial" w:eastAsia="Times New Roman" w:hAnsi="Arial" w:cs="Arial"/>
                <w:color w:val="003399"/>
                <w:sz w:val="17"/>
                <w:szCs w:val="17"/>
                <w:lang w:eastAsia="es-AR"/>
              </w:rPr>
              <w:lastRenderedPageBreak/>
              <w:t xml:space="preserve">empieza a expandirse considerablemente. En este sentido, comienza a producirse una constante sinergia entre economistas y juristas, lo cual lleva a varios Ph.D. en Economía sean incorporados para enseñar en Facultades de Derecho norteamericanas. Un ejemplo fue el del ya mencionado Gary Becker quién fue fundamental para el movimiento en dos niveles. En primer lugar, dotó al análisis económico del derecho de un herramientas técnicas para estudiar las más diversas cuestiones jurídicas. En efecto, Becker, a través de sus observaciones metodológicas de la ciencia económica, señaló que la economía no solo podía explicar actividades relacionadas al mercado, sino también incluir cuestiones relacionadas al comportamiento humano y ajenas al mercado. En un influyente artículo de 1968, Becker analizó temas propios de las ciencias penales, como la criminalidad y las penas, y lo hizo dentro del esquema de la elección racional, con resultados sorprendentes. Posteriormente, Becker ampliaría el enfoque económico para estudiar áreas del comportamiento humano en apariencia tan ajenas a la economía como la familia, el matrimonio, los hogares y sus costos, etc37. A partir de las obras de Becker, el análisis económico del derecho ya no se limitaría a las áreas tradicionales como las leyes antimonopolio o el derecho tributario, sino que podía ampliarse a instituciones como la responsabilidad civil, los contratos, el proceso civil,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influencia de Becker también se hizo sentir a través de la colaboración personal y sinergia que tuvo con exponentes del enfoque económico del derecho, y notablemente con quién es la figura más famosa y más polémica de Law &amp; Economics, y cuya impresionante capacidad intelectual (traducida en la producción más copiosa a nivel jurídico en los Estados Unidos) y fuerza motriz para mover el andamiaje del movimiento jamás puede ser sobrevalorada: el Juez Richard Posner.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lectura de cualquier libro de Posner es suficiente para entender porque es probablemente el jurista norteamericano que ha alcanzado mayor fama y relieve desde Oliver Wendell Holmes Jr.38 (al punto que se ha dicho que ha adquirido el carácter raramente visto en juristas de “celebridad”39): su estilo literario es claro, contundente, mordaz, polémico (muchas veces rayando el improperio), y las tesis que sustenta son cuando menos polémicas, y cuando más, revolucionarias40. Posner no solo ha escrito intensamente en los últimos treinta años sobre varias áreas del análisis económico del derecho, como la responsabilidad civil, el derecho de competencia, el derecho de los contratos, el derecho societario y otros, sino que también ha enfocado al derecho desde una perspectiva filosófica, en obras como “Economics of Justice” (“La Economía de la Justicia”) y “The Problems of Jurisprudence” (“Los Problemas del Derecho”).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sin dudas la aportación más destacada de Posner al Law &amp; Economics ha sido expositiva y divulgativa: su obra más importante en este sentido es su manual, ya clásico, Economic Analysis of Law (“Análisis Económico del Derecho”)41. Sin duda esta es la obra más famosa de la historia del Law &amp; Economics (y también la más leída), y ha formado ya una generación de estudiosos, así como un impresionante arraigo de críticas y laudatorios. Tan importante ha sido la actuación de Posner en el movimiento, que muchos de los dardos que se le han tirado al mismo han sido justamente contra Posner y sus ideas, que en muchos casos no son siquiera compartidas por otros exponentes, tales como: la eficiencia del Common Law y de los jueces, la ya mencionada idea de la “maximización de la riqueza”, etc42.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partir de la obra de Posner, el movimiento Law &amp; Economics adquiere la sistematicidad que antes no tenía y además, al contar con un manual propio, el “status” académico propio que aseguraba su continuidad. De hecho, el libro de Posner era “el manual” del análisis económico del derecho, y en este aspecto le dio legitimidad académica. Pero también tuvo un carácter sesgadamente evangelizador: fue en gran parte responsable de la divulgación del movimiento y su exportación a otras áreas del mundo.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Luego, durante las décadas de los setenta y ochenta, el movimiento se fue expandiendo y fue pasando de una “novedad” a instalarse ya en un área más del “establishment” jurídico-académico. De ésta época son los trabajos de suma trascendencia de Calabresi y Melamed respecto a los “property” y “liability rules”, el manual de Polinsky, y las diversas aportaciones de Cooter, en especial su manual con Ulen, Law &amp; Economics. Además, es en esta franja que se comienza a producir la exportación del movimiento a otros países, notablemente Alemania, Italia, Holanda y otros países europeos. En general, en los años 70 y 80 se produjo la consolidación del movimiento, pero no sin críticas, ya que gran parte de las disensiones internas y externas que ha provocado el análisis económico del derecho datan de estos años43.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la década de los ochenta y noventa comienzan a surgir nuevos enfoques y hasta escuelas dentro del movimiento. Caben citar aquí la aplicación de la “teoría de los juegos” que para algunos le da un carácter aún más científico a las aportaciones del Law &amp; Economics, mientras que para otros no funciona en absoluto44; o la “public choice theory” (teoría de la elección pública) que se utiliza para estudiar principalmente el comportamiento de los parlamentos, las agencias estatales y los jueces y tribunales mediante la aplicación del esquema de la elección racional y de la teoría de los juegos. Finalmente cabe mencionar la aparición de nuevos enfoques metodológicos, principalmente la denominada “behavioural law and economics” que parte de la base que el supuesto de la elección racional, es inexacto, y por ello, insisten en la aplicación de la psicología al estudio de la economía. La obra fundamental aquí es el aporte señero de Jolls, Sunstein y Thaler sobre el enfoque conductista o psicológico al análisis económico del derecho45. Asimismo, se ha producido una proliferación de escuelas dentro del análisis económico, a más de la tradicional (que sería la de Chicago): la escuela institucional, la neo-institucional, la austriaca, la alemana, la experimental, etc. Sin embargo, como se ha dicho, la diferencia entre las escuelas no es tan grande como parece, </w:t>
            </w:r>
            <w:r w:rsidRPr="001B7F27">
              <w:rPr>
                <w:rFonts w:ascii="Arial" w:eastAsia="Times New Roman" w:hAnsi="Arial" w:cs="Arial"/>
                <w:color w:val="003399"/>
                <w:sz w:val="17"/>
                <w:szCs w:val="17"/>
                <w:lang w:eastAsia="es-AR"/>
              </w:rPr>
              <w:lastRenderedPageBreak/>
              <w:t xml:space="preserve">las diferencias son más de forma que de fondo46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¿Cuál es actualmente el estado del movimiento? Cuantitativamente, se encuentra en franco crecimiento, y hoy día no solo en los Estados Unidos sino a nivel global47. El hecho es que hoy día la mayoría de las Facultades de derecho cuentan con Profesores de Economía en los Estados Unidos (y esto está comenzando a ocurrir también en Europa y algunos países de Latinoamérica); existen seis revistas o journals en Norteamérica dedicados al movimiento y uno en Europa, así como varios libros de textos, incontables monografías, dos enciclopedias y numerosas asociaciones profesionales en tres continentes (American, Latin American y European Association of Law and Economics). Incluso, en los Estados Unidos, se han nombrado en posiciones destacadas de la magistratura a jueces cultores del Law &amp; Economics48. Cualitativamente, sin embargo, los resultados espectaculares alcanzados por el movimiento en su origen, dieron paso a críticas externas e internas, lo cual redujo el optimismo inicial y dio lugar a posturas menos radicales y a vaticinios menos optimistas, al punto que un destacado exponente se ha lamentado en que “el movimiento está aún lejos de la madurez (como claramente lo indica la falta de trabajos empíricos)”49, mientras que otro ha insistido que “hasta ahora el movimiento no ha dado una respuesta única a la pregunta de cómo deben resolver los jueces los casos que se les presenta”50.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Esos son los datos, pero, ¿cuál es la verdadera historia?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Hemos hecho una breve relación respecto a la formación y consolidación del movimiento, pero ello no dilucida las verdaderas causas por las que algo que parece tan extraño ha tenido tanto éxito y ha conseguido acaparar buena parte del pensamiento jurídico contemporáneo. ¿Cuáles fueron las causas para el nacimiento y éxito de Law &amp; Economics?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primera de las causas tiene que ver con el estado propio de la teoría jurídica en los Estados Unidos al momento del inicio del movimiento. En este sentido, luego del auge del formalismo (más o menos el equivalente a nuestra dogmática civil tradicional) a fines del siglo pasado y el principio de este siglo, el derecho norteamericano se vio asediado en todos los frentes por el “realismo legal” o “escuela realista del derecho”. Esta escuela, que contó entre sus precursores a Holmes y a Cardozo, y tuvo en Llewelyn, Frank, Pound y Cohen a sus más destacados exponentes, tuvo a su cargo esencialmente una misión: desmitificar al derecho en todos sus ámbitos. El ataque realista se basaba fundamentalmente en la idea que los conceptos y herramientas lógicas utilizadas por los juristas tradicionalmente ni eran “neutrales” ni establecían parámetros de juzgamiento “objetivos”. Asimismo, destilaban una desconfianza extrema al logicismo jurídico, es decir, al principio de deducción lógico propio del método jurídico según el cual pueden extraerse de principios generales reglas para casos particulares. La escuela realista, que alcanzó preponderancia en los años 30, 40 y 50, terminó por destruir todo concepto de sistematicidad del derecho americano, y lo que es más, dejó sin base la tarea de los tribunales y jueces51.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contexto de desolación de la teoría jurídica formalista, se ha dicho, es en el que mejor puede explicarse el surgimiento de Law &amp; Economics52. En primer lugar, porque la teoría económica del derecho nuevamente podía otorgarle la sistematicidad de la que había sido despojado el derecho por los realistas, de manera tal a que todos (o casi todos) los fenómenos jurídicos puedan ser explicados con una base común: la económica53. En segundo lugar, la literatura inherente al movimiento buscó desde un principio otorgar una base consensuada para la argumentación jurídica, es decir, establecer una serie de mecanismos y conceptos en los que todos podamos estar de acuerdo. Esta idea puede ser formulada de la siguiente manera: “la metodología tradicional (analogía, conceptos, lógica formal, etc.) no pueden servir de base para una teoría del derecho en la que todos estemos de acuerdo; tampoco las teorías morales y iusfilosóficas, ya que es muy difícil que todos estemos de acuerdo en los diversos temas de la teoría moral y ética. Si en definitiva el derecho no es ciencia, porque no tomamos como base para el mismo a la Economía, que si es una ciencia y puede expresar en términos objetivos las cuestiones legales”.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concepción puede resumirse en las palabras de Posner: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aspecto más interesante del movimiento ha sido su aspiración a colocar el estudio del derecho sobre una base científica, con una teoría coherente, con hipótesis precisas deducidas de la teoría y verificaciones empíricas de las hipótesis. El derecho es una institución social de enorme antigüedad e importancia, y no puedo ver razón para que no sea susceptible al estudio científico. La economía es la más avanzada de las ciencias sociales, y el sistema legal contiene muchos paralelos y se traslapa con los sistemas que los economistas han estudiado con éxito54.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otras palabras: a través de la teoría económica, que es neutral y tiene una base objetiva, podemos llegar a un consenso para decidir los casos judiciales. Puede verse entonces que el análisis económico del derecho no solo puede reconstruir el mapa jurídico mediante conceptos económicos, sino que además permite mecanismos objetivos para la solución de los casos concretos55.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Otro factor decisivo en la expansión del movimiento ha sido el fenómeno que se ha dado en el siglo XX en todas las ciencias sociales, llamado comúnmente “imperialismo económico” o “economicismo”. Como su nombre lo indica, el imperialismo económico se ha caracterizado justamente por la exportación de la economía y su método a áreas de estudio social, más notablemente a la sociología, a la historia, a las ciencias políticas, y a través del Law &amp; Economics, al Derecho. Bunge (quién formula un ataque virulento al economicismo) lo define como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El intento de reducir y con ello subordinar la antropología, la sociología, las ciencias políticas, la culturología y la historia a la economía; la hipótesis central del economicismo es que directa o indirectamente, todo lo social es de naturaleza económica56.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ciencias sociales se han visto en las últimas décadas asediadas por el imperialismo económico, en el cual la ya citada obra de Becker y la escuela de Chicago ha tenido un peso de considerable importancia. No hay área de estudio social al que no se haya exportado la economía, y esto sin entrar a juzgar las bondades o defectos del economicismo. Pero que el fenómeno es una realidad, y que ha jugado un papel considerable en el desarrollo de Law &amp; Economics, ello es innegable.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Tampoco puede subestimarse lo que podríamos llamar, para ponerle algún nombre, el factor “geopolítico”. No es ninguna casualidad que el boom del Law &amp; Economics se haya registrado en la principal potencia socio-económica del mundo. Una teoría que ve al derecho en términos del “mercado” solo puede concebirse en un país en el cual el mercado ha tenido (y continua teniendo) un éxito real. Pero además, el éxito impresionante en niveles económicos y los datos sociales positivos registrados por los Estados Unidos (en especial en la década de los ’90) son los más altos de la historia, y ello ha obligado a un serio replanteamiento de la eficacia (¡y eficiencia!) del derecho americano en ojos de los demás países. Puesto en términos pedestres: “algo deben estar haciendo bien con su derecho, tal vez convendría seguir sus pasos”. Como ha dicho un prestigioso jurista italiano,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prestigio del derecho americano actualmente se debe sin duda al sentimiento existente en la generalidad de los países que su sistema jurídico es más eficiente y por ello conlleva necesariamente el progreso y desarrollo de los países que lo adopten57.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Tampoco puede subestimarse el prestigio y poderío que ha alcanzado este país a nivel mundial, y que ha llevado a un importante flujo en la “balanza comercial jurídico-intelectual”: una exportación inusitada de institutos jurídicos, leyes y principios legislativos y movimientos intelectuales de Estados Unidos a otros países (como por ejemplo, la rama entera del derecho del consumidor); y por otra parte, una importación de los mejores cerebros académicos del mundo (especialmente europeos) a sus insuperables universidades, lo que ha motivado a un autor a decir que “han cambiado los vientos intelectuales en el derecho occidental, los que ahora soplan a favor del common law”58.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Finalmente, también debe mencionarse el optimismo generalizado que caracteriza a la economía – considerada por sus cultores como la ciencia social por excelencia – y los sucesos socio-económicos que se dieron en los años 80 y 90 que confirmaron (o casi) las teorías de la mayoría de los economistas neoclásicos: la caída del socialismo en los países comunistas, el éxito de las políticas de desregulación económicas (un ejemplo es la industria de las aerolíneas o las telecomunicaciones) así como las políticas económicas en los países de la Europa del este, el sureste asiático, etc59.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dos aspectos de Law &amp; Economics: como es y como debería ser el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discurso de Law &amp; Economics tiene básicamente dos niveles. En el primero, llamado positivo o descriptivo, intenta explicar y definir las instituciones legales tales como el contrato, la propiedad, la responsabilidad civil, etc. En este sentido, en vez de utilizar el método tradicional de la dogmática, es decir, técnicas analíticas del lenguaje, construcción conceptual, deducciones lógicas, analogía, etc. lo que se hace es enfocar económicamente al instituto, mediante la utilización de los supuestos ya mencionados de elección racional, maximización, eficiencia, etc. El análisis positivo intenta describir “como el derecho es”, es decir, explicar las instituciones jurídicas, predecir sus efectos e indicar cual es la norma jurídica eficiente y cual ineficiente60.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segundo nivel del análisis económico del derecho, el más complicado y (sin dudas) el más polémico, es el normativo. Si la teoría positiva describe al sistema jurídico en su “ser económico”, la normativa lo hace justamente desde su “deber ser económico”. En este sentido, ha dicho Polinsky que el enfoque normativo o prescriptivo tiende a determinar cual norma jurídica o política de derecho es la ideal para promover determinados objetivos, en especial el de eficiencia61. Mientras que el enfoque positivo describe, el normativo propone reformas legislativas62.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diferencia entre los dos niveles de análisis económico es fundamental, y por varios motivos. En primer lugar, porque desde el punto de vista práctico (y hasta ideológico), es más fácil decir “esto es así” que “esto debe ser así, por esta razón”. El fenómeno “normativo” es siempre más polémico, hasta el punto que es a este nivel de discurso que existen notables diferencias entre los diversos exponentes del Law &amp; Economics. En segundo lugar, por una cuestión propia de epistemología de la Economía: ésta, por definición, es meramente descriptiva, se limita a indicar los problemas y las consecuencias de las acciones de los seres racionales. Pero dentro de la economía “científica”, no existe la teoría “normativa”. Las proposiciones normativas son respondidas por otra disciplina, la economía de bienestar o welfare economics. La pregunta que se han formulado algunos autores, entonces es lógica: ¿cómo puede ser que la Economía no sea normativa, y sin embargo, Law &amp; Economics se de el lujo de hacer prescripciones? Para este sector doctrinario, las prescripciones normativas no entran dentro del análisis económico del derecho63.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Esta postura, sin embargo, es minoritaria: prácticamente la totalidad de los cultores del Law &amp; Economics a más de describir económicamente al derecho, formulan prescripciones para el mejoramiento del mismo como instrumento social desde la eficiencia64.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Coase, sus ideas y “su” Teorema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pesar de toda el agua que ha corrido bajo el puente de Law &amp; Economics, las ideas de Ronald H. Coase (Profesor de la Universidad de Chicago, nacido en Inglaterra en 1910 y Premio Nóbel de Economía, 1991) siguen siendo el punto de partida de todo análisis económico del derecho, al punto que se ha dicho que todo el movimiento puede ser interpretado como una continuación del mismo65. Por ello, es importante entender en primer lugar cual fue el aporte verdadero de Coase, y lo que es más importante, hasta que extremos se han llevado sus ideas.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grueso de la contribución de Coase se halla en el ya citado artículo publicado en el Journal of Law and Economics en 1961, “The Problem of Social Cost” (“El Problema del Costo Social”)66. Coase, cuya intención al escribir el artículo era estudiar un problema puntual del análisis propio de economistas, el de las “externalidades”, jamás pudo haberse imaginado que una idea no central del mismo sería la mecha que encendería la pólvora y dispararía al movimiento jurisprudencial más importante de la actualidad.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punto de partida de Coase, como ya se ha dicho, es el de las “externalidades”, y su objetivo, rebatir la teoría dominante en la época, la pigouviana. Desde el punto de vista económico, las externalidades son todas las consecuencias negativas y nocivas (“costos sociales”) que tiene la actividad humana, y en especial la empresarial. El ejemplo típico es el de la polución: una fábrica emite humo y daña a un vecino.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el economistas, estos efectos nocivos “externos” son ineficientes y por tanto debe existir un mecanismo correctivo para solucionarlos. La respuesta a este problema y aceptada durante años la había dado el economista inglés A.C. Pigou. Para Pigou la cuestión era bastante simple: a fin de evitar resultados ineficientes, las empresas deberían “internalizar” sus “externalidades”, y ello, a través de diversos mecanismos: impuestos (“pigouvian taxes”), es decir, a través de la regulación estatal. Pigou asumía, como la mayoría de los economistas y juristas - que podía determinarse de antemano quién es el dañador, es decir, que existe una norma jurídica que dirá “la fábrica que poluye es responsable” o “la víctima de la polución es responsable”67.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para Coase este enfoque pigouviano es palmariamente erróneo: asumir que siempre hay un dañador y una víctima (fábrica dañadora y víctima dañada) es equivocado. Para Coase, estamos ante un problema de “reciprocidad”, tanto el dañador como la víctima son indispensables para que exista la externalidad o daño. Los costos sociales derivan no solo de la actividad del dañador sino también de la víctima; gráficamente, la polución de la fábrica sería de poca importancia si no afectase a la víctima que ha decidido mudarse al lado de la fábrica. Coase revoluciona así el concepto tradicional: toda externalidad (o daño) es producto de la actividad conjunta del dañador y la víctima,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desde el punto de vista de la causación, ambas partes causan el daño. Si lo que buscamos es la distribución eficiente de recursos, lo más deseable es que ambas partes tomen en cuenta los efectos nocivos de sus acciones antes de tomar la decisión sobre las mismas”68.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ideas de Coase toman a partir de aquí un cariz aún más fascinante. En efecto, Coase le da un giro a su argumento, al señalar que el problema de las externalidades puede ser resuelto por la fabrica y el vecino fácilmente si los mismos se sientan a negociar libremente. Imaginemos por un segundo que no existen dificultades para esta negociación: las partes tienen tiempo ilimitado que invertir en negociaciones previas, no hay necesidad de contratación de abogados para que redacten los términos del acuerdo, que se revisen las cláusulas, etc. Si este es el caso, observa Coase, es evidente que tanto la fábrica como el vecino llegarían a un resultado consensuado y eficiente, ya que pueden negociar libremente y transferirse toda la información que necesiten. Este mundo en el que las partes pueden sentarse sin más a negociar es lo que se conoce como el mundo “cero costos de transacción”. En el caso de la fábrica y el vecino, si no hay costos de transacción, las partes pueden darse cuenta que tal vez la solución más interesante desde el punto de vista económica no sería que la fábrica pague un impuesto, sino que el vecino le venda su propiedad y se mude, o que la alquile. El problema ya no son las externalidades, ni la norma jurídica de imputación de responsabilidad, sino los costos de transacción. Son estos los que impiden un funcionamiento eficiente del mercado. Como el propio Coase afirma,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un mundo sin costes de transacción carece de importancia la determinación de la norma jurídica vigente o el derecho aplicable, ya que las partes siempre podrán negociar sin costo para adquirir, subdividir y combinar sus derechos cuando ello lleve a incrementar el valor de la producción (y la eficiencia)”69.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idea de Coase es la que se transformó en el celebrado “Teorema de Coase”, aunque él ni lo propuso directamente ni tampoco le dio su nombre. El Teorema puede ser recitado de varias formas, pero la idea es siempre la misma: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r>
            <w:r w:rsidRPr="001B7F27">
              <w:rPr>
                <w:rFonts w:ascii="Arial" w:eastAsia="Times New Roman" w:hAnsi="Arial" w:cs="Arial"/>
                <w:color w:val="003399"/>
                <w:sz w:val="17"/>
                <w:szCs w:val="17"/>
                <w:lang w:eastAsia="es-AR"/>
              </w:rPr>
              <w:br/>
              <w:t xml:space="preserve">Teorema de Coase: </w:t>
            </w:r>
            <w:r w:rsidRPr="001B7F27">
              <w:rPr>
                <w:rFonts w:ascii="Arial" w:eastAsia="Times New Roman" w:hAnsi="Arial" w:cs="Arial"/>
                <w:color w:val="003399"/>
                <w:sz w:val="17"/>
                <w:szCs w:val="17"/>
                <w:lang w:eastAsia="es-AR"/>
              </w:rPr>
              <w:br/>
              <w:t xml:space="preserve">Si los costos de transacción son inexistentes (cero costos de transacción), el resultado será siempre eficiente sin importar la asignación original de los derechos subjetivos a las partes o el derecho aplicable70.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los cultores del Law &amp; Economics, como explicaremos luego, el “problema del coste social” termina aquí, es decir, en el mundo sin costos de transacción. Todo gira alrededor de los costos de transacción. Pero la realidad es que Coase fue más allá. Para Coase el mundo cero costos de transacción es solo la mitad del camino, y el mismo lleva sus ideas más lejos (literalmente, el estudio de “cero costes de transacción” se encuentra a la mitad de su artículo).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efecto, para Coase, hablar de un mundo así es un sueño, ya que es evidente que no existe un mundo sin costos de transacción; todo lo contrario, los costos de transacción están siempre a la orden del idea y van in crescendo, a medida que la sociedad se vuelve más compleja.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Coase ha aclarado que lo que él buscaba con el modelo “cero costos de transacción” era demostrar a sus colegas economistas que los costos de transacción que existen en la vida real modifican profundamente los modelos teóricos que ellos utilizan y no toman en cuenta: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“Mi objetivo era el de demostrar la necesidad de introducir los costos positivos de transacción explícitamente al análisis económico para poder estudiar el mundo tal cual realmente existe. Pero este no ha sido el efecto de mi trabajo. La mayor parte de la discusión ha girado alrededor del “Teorema de Coase” (término que yo no he originado), una proposición sobre un mundo con cero costes de transacción. Esta respuesta, aunque me desilusiona, es entendible. El mundo con cero costes de transacción, al cual se aplica el Teorema, es el mundo del análisis económico moderno, y los economistas se sienten siempre cómodos manejando los problemas que plantea en forma lo más remota posible con el mundo real”71.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Coase continúa su exposición, y entiende que el problema de los costos de transacción puede resolverse de varias maneras: una es dejar la solución a cargo de las empresas, otra a cargo del gobierno y otra dejar directamente las cosas tal cual se encuentran. Todas estas alternativas, sin embargo, le parecen insuficientes, en especial la gubernamental: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 claro que todas las soluciones tienen sus costos, y su regulación por parte del gobierno (como cree gran parte de los economistas) ante la ineficacia del mercado y las empresas no es la salida”, la cual se encuentra seguramente en el campo de “la estética y la moral” 72.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Coase finalmente propone un análisis profundo y serio, basado en investigaciones empíricas, del mercado y las instituciones que lo componen para llegar a la verdadera solución del problema que atinadamente llama “del costo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Teorema de Coase en la literatura de Law &amp; Economics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Hemos resumido hasta aquí las ideas de Coase sobre el costo social. Sin embargo, y como ya hemos dicho, las ideas de Coase y los cultores del Law &amp; Economics no pueden identificarse completamente: el análisis económico del derecho ha rescatado solo parte de las ideas de Coase, y en especial, lo que se ha denominado el “Teorema de Coase”.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efecto, el punto de partida de Law &amp; Economics es la idea de Coase según la cual si no hay costos de transacción, las partes arribarán a una solución eficiente sin importar la asignación inicial de derechos subjetivos. Para explicar mejor como funciona esta idea recurriremos al siguiente ejemplo73: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Supongamos que existe una fábrica que emite abundante polución y que tiene cuatro vecinos. El humo emitido por la fábrica destruye la ropa colgada por los vecinos en tendederos para secar, lo cual produce un daño de Gs. 1000 a cada vecino, es decir, un total de Gs. 4000. Esto puede resolverse de dos maneras: la fábrica puede adquirir un limpiador de aire por Gs. 2000 o puede comprar un secarropas para cada vecino a un costo de Gs. 750, por un total de Gs. 3000. La solución eficiente obviamente es comprar un limpiador de aire por Gs. 2000, ya que elimina el total de daños de Gs. 4000 y es más barato que comprar los 4 secarropas por Gs. 3000.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consecuencia, si los vecinos y las fábricas pueden negociar libremente y sin restricciones de tipo alguno, llegarían a la solución del limpiador de aire, por más que la ley vigente hubiese establecido otra salida, como por ejemplo la compra obligatoria de los secarropas. El ejemplo es altamente esclarecedor para explicar el Teorema: si no hay costos de transacción, las partes llegarán a un resultado eficiente por más que la ley haya establecido otra solución.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Siguiendo la lógica del ejemplo, la tarea del derecho es sencilla: para que el tráfico jurídico y sus resultados sean </w:t>
            </w:r>
            <w:r w:rsidRPr="001B7F27">
              <w:rPr>
                <w:rFonts w:ascii="Arial" w:eastAsia="Times New Roman" w:hAnsi="Arial" w:cs="Arial"/>
                <w:color w:val="003399"/>
                <w:sz w:val="17"/>
                <w:szCs w:val="17"/>
                <w:lang w:eastAsia="es-AR"/>
              </w:rPr>
              <w:lastRenderedPageBreak/>
              <w:t xml:space="preserve">eficientes, lo que el ordenamiento debe hacer es eliminar los costos de transacción. Y allí donde existan costos de transacción, el sistema debe limitarlos o eliminarlos, ya que estos son los que impiden una asignación eficiente de recursos.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el análisis económico del derecho, las ideas de Coase dan las siguientes directrices de análisis74: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d)Si no hay costos de transacción, las partes arribarán siempre a un resultado que será eficiente, sin importar las normas jurídicas o el derecho aplicable, ya que si la asignación de derechos es ineficiente, las partes se encargarán de corregirla por una transacción.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e)En consecuencia, el objetivo del ordenamiento jurídico es el de minimizar los costos de transacción, para obtener soluciones eficientes. ¿Como hacer esto? Sencillamente definiendo derechos de propiedad en forma clara, hacer que la transferencia de los mismos sea fácil, creando remedios eficientes para el incumplimiento de contratos,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f)Cuando a pesar del intento del derecho de tratar de minimizar los costes de transacción los mismos se mantienen elevados o son prohibitivos (como en un accidente), debe analizarse el problema como si los costos hubiesen sido originalmente nulos, ya que así se llegará a la solución eficiente.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estas ideas parecen extrañas o difíciles de aprehender, quizás resulten más claras cuando estudiemos algunas instituciones jurídicas desde la óptica económica. Esto es lo que haremos a continuación.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Manos a la obra: análisis económico de la responsabilidad civil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Ilustrar al análisis económico del derecho “en movimiento” nos dará una idea más precisa de lo que en realidad hacen los cultores del Law &amp; Economics. Si bien ya hemos repasado las ideas principales del movimiento desde el punto de vista teórico, ello puede dejarnos una visión parcial e incompleta si no bajamos al mundo práctico de sus análisis. Un buen punto de partida es el análisis económico de la responsabilidad civil o tort law75.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Y es que es en el área de los torts en donde se han dado algunos de los mayores éxitos y fracasos del Law &amp; Economics. Baste para ilustrar ello dos ideas contrapuestas: “la literatura no económica del derecho todavía no ha podido ofrecer una teoría alternativa y positiva del derecho de la responsabilidad civil a la económica”76, y “a pesar de los excelentes estudios del análisis económico del tort law (como el de Posner, el Polinsky o el de Shavell), los economistas-juristas tienen todavía muy poco que ofrecer a los jueces y tribunales interesados en resolver casos (de responsabilidad civil) con el objetivo de lograr resultados eficientes”77.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entender el enfoque económico del sistema de la responsabilidad, quizás lo mejor sea contraponerla al enfoque clásico civilista, que parte del principio de responsabilidad civil como mecanismo para la obtención de la justicia correctiva. Quién mejor expositor aquí que el insuperable jurista español Pantaleón Prieto: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responsabilidad civil es una institución elemental del derecho civil que contempla el daño como un problema interindividual entre dañante y dañado y obliga al primero a indemnizarlo cuando existe una razón de justicia conmutativa (ante todo culpa, pero también actividad lucrativa especialmente peligrosa “riesgo”).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ilustrar aún más sus ideas, el citado profesor explica que “indemnizar no borra el daño del mundo sino simplemente lo cambia de bolsillo” y que su objeto no es otro que “dar al rico su riqueza y al pobre su pobreza” 78.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Ahora bien: quiénes enfocan a la responsabilidad civil desde el punto de vista económico no podrían estar más en desacuerdo con estas ideas. Los economistas-legales ponen al sistema tradicional de responsabilidad civil de cabeza, al anteponer la eficiencia del mismo ante todo, incluso al corazón mismo de nuestro derecho de daños: la indemnización. La pregunta que debe hacerse es la siguiente: ¿es eficiente el sistema de responsabilidad civil para corregir los daños sociales, o existen otros más baratos como el seguro?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 primero que debe notarse desde la perspectiva económica es que los hechos dañosos (accidentes) causan externalidades nocivas. Las externalidades, como hemos dicho ya, son ineficientes para la riqueza social. Ergo, los accidentes son ineficientes y deben ser minimizados al máximo a través de normas que incentiven efectivamente la precaución para evitar accidentes.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la óptica tradicional el accidente o hecho dañoso también es nocivo, causa un daño. Pero el análisis termina aquí. Calabresi demostró hace ya muchos años que los costos de los accidentes no se reducen a esto, sino que todo accidente produce una serie de externalidades y los clasificó en tres niveles: los costos de la prevención o precaución que se toman para evitar un daño (costo primario), los costos del accidente en sí, el daño (costo secundario) y finalmente los costos de administración del daño (costo terciario), es decir, el via crucis de las partes desde el contacto inicial con abogados, el juicio, movimiento del aparato judicial, etc.79 Como se repite comúnmente: “cada dólar que se recupera con la indemnización supone invertir un dólar en el sistema judicial para su recuperación.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Esta perspectiva, ilustrativa y enriquecidora, muestra al accidente en su verdadera dimensión: los costos de los mismos no se limitan a las partes, a la víctima y al dañante, sino que se dispersan en todo el entramado socioeconómico, y afectan a la riqueza de la sociedad toda. No es, como señalan los analistas tradicionales, un problema interindividual, sino que es colectivo.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segundo lugar, debe tenerse en cuenta que los accidentes que generan los hechos dañosos de responsabilidad civil se caracterizan precisamente en que no son totalmente accidentales. En efecto, un accidente de tráfico puede parecer a primera vista fortuito, pero a medida que lo examinamos vemos que esto es relativo: yo puedo elegir la velocidad en que manejo, la hora en que manejo (dia o noche), los mecanismos de seguridad de mi automóvil (luces de “stop”, cinturones de seguridad),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Ello quiere decir que bajo la adopción de determinadas medidas de precaución, los accidentes pueden ser minimizados, es decir, puede reducirse el grado de ineficiencia que causan los hechos dañosos sobre la productividad de la economía. Bajo un determinado nivel de precaución, los accidentes y sus costos serán minimizados. En consecuencia, las normas jurídicas que regulan la responsabilidad civil necesariamente deben fijar incentivos para que las personas tomen precauciones debidas. De aquí se sigue que las normas de responsabilidad civil son ineficientes si su único objetivo es el de compensar; también debería tener como función esencial la preventiva o disuasoria: debe motivar a los individuos para que tomen las precauciones debidas para intentar mantener en el mínimo el número de accidentes.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resultado de este cocktail es la visión de la responsabilidad civil de Law &amp; Economics, expuesta claramente por Shavell: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beneficios sociales del sistema de responsabilidad civil no radican en la compensación de las victimas, ya que el sistema de seguros compensa en forma más barata que el de responsabilidad civil. Por contrario, los beneficios sociales del sistema de responsabilidad civil residen en gran parte en su capacidad de reducir el número de accidentes”80.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puede apreciarse, la distancia entre las ideas de clásicas y las del análisis económico del derecho es de un millón de años luz.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 notable del caso es que la idea central del análisis económico de los accidentes se debe no a un exponente de Law &amp; Economics ni mucho menos, sino a un prestigioso Juez americano que desarrolló (en términos no económicos, por cierto) lo que actualmente se conoce como la teoría económica de la culpa, y que explica en gran parte el énfasis puesto por los economistas-legales en el aspecto preventivo del sistema. Este Juez se llamaba Learned Hand, y el caso resuelto (sin dudas el más famoso de la historia de la responsabilidad civil en los últimos tiempos en los Estados Unidos): U.S. v. Carroll Towing Co81.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datos del caso son ilustrativos: la parte demandada Carroll Towing Co. era una remolcadora que trabaja estirando barcazas en el puerto de Nueva York. En un momento dado, empleados de la Carroll comenzaron a reajustar la amarras de las distintas barcazas, pero el ajuste fue mal efectuado y una de las chatas, Anna C, se soltó, chocó con otro barco y se hundió con toda su carga. En Primera Instancia, la compañía demandada fue hallada negligente y condenada al pago de una indemnización a la propietaria de la barcaza Anna C. La Carroll Towing Co. apeló la sentencia arguyendo que hubo culpa concurrente de la parte actora ya que no previó la contratación de un “lanchonero”, que, según la Carroll, de haber estado al bordo de la barcaza al momento del reajuste de la barcaza, hubiera evitado el accidente. El Juez Hand estuvo de acuerdo con los argumentos del apelante, y en el fundamento de su fallo fijó una fórmula matemática para ayudar a determinar en que casos puede considerarse a una conducta como “negligente”: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la revisión precedente se concluye que no existe ninguna regla general para determinar cuando la ausencia de un lanchonero u otro asistente hará responsable al dueño de una barcaza por los daños causados a otros barcos si se suelta de sus amarras. Dado que hay ciertas ocasiones en las que cualquier barco se soltará de sus amarras y se convertirá en una amenaza para los barcos cercanos, la obligación del dueño de tomar precauciones contra los daños resultantes es una función de tres variables: 1) la probabilidad de que el barco se suelte; 2) la gravedad del daño resultante en tal caso y 3) la carga de las precauciones adecuadas. Quizá convenga poner de relieve esta noción expresándola en términos algebraicos: si la probabilidad es P, el daño es L, y la carga de precaución es B, la responsabilidad entonces depende de que B sea menor que L multiplicado por P82.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siguiendo el razonamiento fijado por Hand, un sujeto será responsable siempre y cuando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 </w:t>
            </w:r>
            <w:r w:rsidRPr="001B7F27">
              <w:rPr>
                <w:rFonts w:ascii="Arial" w:eastAsia="Times New Roman" w:hAnsi="Arial" w:cs="Arial"/>
                <w:color w:val="003399"/>
                <w:sz w:val="17"/>
                <w:szCs w:val="17"/>
                <w:lang w:eastAsia="es-AR"/>
              </w:rPr>
              <w:sym w:font="Symbol" w:char="F0E1"/>
            </w:r>
            <w:r w:rsidRPr="001B7F27">
              <w:rPr>
                <w:rFonts w:ascii="Arial" w:eastAsia="Times New Roman" w:hAnsi="Arial" w:cs="Arial"/>
                <w:color w:val="003399"/>
                <w:sz w:val="17"/>
                <w:szCs w:val="17"/>
                <w:lang w:eastAsia="es-AR"/>
              </w:rPr>
              <w:t xml:space="preserve"> P x 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 puesto en palabras: un sujeto será negligente y deberá pagar una indemnización siempre y cuando los costos para evitar el accidente (“B”) sean menores que el daño producido (“L”) y la probabilidad que suceda el accidente (“P”). Cuanto más alta sea la probabilidad del accidente y las pérdidas posibles, más precaución se le debe exigir al sujeto, y viceversa. Esto, a su vez lleva al siguiente corolario: una persona solo evitará un accidente si le es más </w:t>
            </w:r>
            <w:r w:rsidRPr="001B7F27">
              <w:rPr>
                <w:rFonts w:ascii="Arial" w:eastAsia="Times New Roman" w:hAnsi="Arial" w:cs="Arial"/>
                <w:color w:val="003399"/>
                <w:sz w:val="17"/>
                <w:szCs w:val="17"/>
                <w:lang w:eastAsia="es-AR"/>
              </w:rPr>
              <w:lastRenderedPageBreak/>
              <w:t xml:space="preserve">barato pagar los costos de prevención que los daños hipotéticos, de lo contrario preferirá obviamente el accidente y la consecuente indemnización ya que esto es más eficiente desde su óptica.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¿Cómo encaja esto en el esquema ya enunciado? Si bien Hand redactó su voto años antes del auge del Law &amp; Economics, sus cultores no tardaron en entender la lógica económica de la fórmula Hand de la culpa. Si solo se responderá por daños en los casos que B </w:t>
            </w:r>
            <w:r w:rsidRPr="001B7F27">
              <w:rPr>
                <w:rFonts w:ascii="Arial" w:eastAsia="Times New Roman" w:hAnsi="Arial" w:cs="Arial"/>
                <w:color w:val="003399"/>
                <w:sz w:val="17"/>
                <w:szCs w:val="17"/>
                <w:lang w:eastAsia="es-AR"/>
              </w:rPr>
              <w:sym w:font="Symbol" w:char="F0E1"/>
            </w:r>
            <w:r w:rsidRPr="001B7F27">
              <w:rPr>
                <w:rFonts w:ascii="Arial" w:eastAsia="Times New Roman" w:hAnsi="Arial" w:cs="Arial"/>
                <w:color w:val="003399"/>
                <w:sz w:val="17"/>
                <w:szCs w:val="17"/>
                <w:lang w:eastAsia="es-AR"/>
              </w:rPr>
              <w:t xml:space="preserve"> P x L, es claro que el sistema cumple con el objetivo de la eficiencia, reducir el costo total de los accidentes. Como lo notó Posner, una inversión en la prevención de accidentes significará una reducción marginal en los costos totales de los daños causados por los accidentes. Al sostener que una persona solo será responsable bajo la fórmula de Hand, es decir, cuando no haya tomado las precauciones necesarias para evitar el accidente, el derecho de responsabilidad civil cumplirá inevitablemente con su misión: evitar los accidentes, que son esencialmente ineficientes83.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atención del análisis económico de la responsabilidad civil en consecuencia se ha vertido hacia la función de “deterrence” o disuasoria extraña a nuestros sistemas civiles: mientras las normas de la responsabilidad civil no fijen incentivos para que las personas tomen las suficientes precauciones y se disminuyan así el número de accidentes, el mismo es inaceptable desde el punto de vista económico. La mera compensación, señalan los analistas económicos, puede ser alcanzada por otros mecanismos más baratos: seguros privados, públicos,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Otro tema que ha ocupado la mente (y las teclas) de los cultores del Law &amp; Economics a la hora de estudiar la responsabilidad civil ha sido el análisis y la adopción de un criterio de imputación eficiente para evitar accidentes: la culpa (negligence) o la responsabilidad objetiva (strict liability). Para estudiar mejor el tema y determinar cual es el factor que mayormente lleva a la eficiente precaución de accidentes, tomaremos el ejemplo de un automóvil que va por la calzada y atropella a un peatón84.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Supongamos por un momento que desde la óptica de un análisis costo-beneficio lo que más valora el conductor es su tiempo, ya que de lo contrario no llegará a una reunión clave en su agenda empresarial; en contrapartida, para el peatón lo más costoso serían las pérdidas económicas (y morales) sufridas por el hecho de ser embestido por el conductor. Desde este punto de vista, al conductor le quedan tres alternativas, con diferentes ganancias: manejar rápido, moderadamente y despacio, lo cual a su vez tiene diferentes resultados desde el punto de vista de la eficiencia, como lo demuestra la siguiente tabla: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Conducta del conductor del automóvil</w:t>
            </w:r>
            <w:r w:rsidRPr="001B7F27">
              <w:rPr>
                <w:rFonts w:ascii="Arial" w:eastAsia="Times New Roman" w:hAnsi="Arial" w:cs="Arial"/>
                <w:color w:val="003399"/>
                <w:sz w:val="17"/>
                <w:szCs w:val="17"/>
                <w:lang w:eastAsia="es-AR"/>
              </w:rPr>
              <w:br/>
              <w:t>Beneficio esperado por el conductor</w:t>
            </w:r>
            <w:r w:rsidRPr="001B7F27">
              <w:rPr>
                <w:rFonts w:ascii="Arial" w:eastAsia="Times New Roman" w:hAnsi="Arial" w:cs="Arial"/>
                <w:color w:val="003399"/>
                <w:sz w:val="17"/>
                <w:szCs w:val="17"/>
                <w:lang w:eastAsia="es-AR"/>
              </w:rPr>
              <w:br/>
              <w:t>Daños eventuales del peatón</w:t>
            </w:r>
            <w:r w:rsidRPr="001B7F27">
              <w:rPr>
                <w:rFonts w:ascii="Arial" w:eastAsia="Times New Roman" w:hAnsi="Arial" w:cs="Arial"/>
                <w:color w:val="003399"/>
                <w:sz w:val="17"/>
                <w:szCs w:val="17"/>
                <w:lang w:eastAsia="es-AR"/>
              </w:rPr>
              <w:br/>
              <w:t>Total de los beneficios menos los costes del accidente</w:t>
            </w:r>
            <w:r w:rsidRPr="001B7F27">
              <w:rPr>
                <w:rFonts w:ascii="Arial" w:eastAsia="Times New Roman" w:hAnsi="Arial" w:cs="Arial"/>
                <w:color w:val="003399"/>
                <w:sz w:val="17"/>
                <w:szCs w:val="17"/>
                <w:lang w:eastAsia="es-AR"/>
              </w:rPr>
              <w:br/>
              <w:t>Maneja rápidamente</w:t>
            </w:r>
            <w:r w:rsidRPr="001B7F27">
              <w:rPr>
                <w:rFonts w:ascii="Arial" w:eastAsia="Times New Roman" w:hAnsi="Arial" w:cs="Arial"/>
                <w:color w:val="003399"/>
                <w:sz w:val="17"/>
                <w:szCs w:val="17"/>
                <w:lang w:eastAsia="es-AR"/>
              </w:rPr>
              <w:br/>
              <w:t>Gs. 12.000</w:t>
            </w:r>
            <w:r w:rsidRPr="001B7F27">
              <w:rPr>
                <w:rFonts w:ascii="Arial" w:eastAsia="Times New Roman" w:hAnsi="Arial" w:cs="Arial"/>
                <w:color w:val="003399"/>
                <w:sz w:val="17"/>
                <w:szCs w:val="17"/>
                <w:lang w:eastAsia="es-AR"/>
              </w:rPr>
              <w:br/>
              <w:t>Gs. 10.000</w:t>
            </w:r>
            <w:r w:rsidRPr="001B7F27">
              <w:rPr>
                <w:rFonts w:ascii="Arial" w:eastAsia="Times New Roman" w:hAnsi="Arial" w:cs="Arial"/>
                <w:color w:val="003399"/>
                <w:sz w:val="17"/>
                <w:szCs w:val="17"/>
                <w:lang w:eastAsia="es-AR"/>
              </w:rPr>
              <w:br/>
              <w:t>Gs. 2.000</w:t>
            </w:r>
            <w:r w:rsidRPr="001B7F27">
              <w:rPr>
                <w:rFonts w:ascii="Arial" w:eastAsia="Times New Roman" w:hAnsi="Arial" w:cs="Arial"/>
                <w:color w:val="003399"/>
                <w:sz w:val="17"/>
                <w:szCs w:val="17"/>
                <w:lang w:eastAsia="es-AR"/>
              </w:rPr>
              <w:br/>
              <w:t>Maneja moderadamente</w:t>
            </w:r>
            <w:r w:rsidRPr="001B7F27">
              <w:rPr>
                <w:rFonts w:ascii="Arial" w:eastAsia="Times New Roman" w:hAnsi="Arial" w:cs="Arial"/>
                <w:color w:val="003399"/>
                <w:sz w:val="17"/>
                <w:szCs w:val="17"/>
                <w:lang w:eastAsia="es-AR"/>
              </w:rPr>
              <w:br/>
              <w:t>Gs. 8.000</w:t>
            </w:r>
            <w:r w:rsidRPr="001B7F27">
              <w:rPr>
                <w:rFonts w:ascii="Arial" w:eastAsia="Times New Roman" w:hAnsi="Arial" w:cs="Arial"/>
                <w:color w:val="003399"/>
                <w:sz w:val="17"/>
                <w:szCs w:val="17"/>
                <w:lang w:eastAsia="es-AR"/>
              </w:rPr>
              <w:br/>
              <w:t>Gs. 4.000</w:t>
            </w:r>
            <w:r w:rsidRPr="001B7F27">
              <w:rPr>
                <w:rFonts w:ascii="Arial" w:eastAsia="Times New Roman" w:hAnsi="Arial" w:cs="Arial"/>
                <w:color w:val="003399"/>
                <w:sz w:val="17"/>
                <w:szCs w:val="17"/>
                <w:lang w:eastAsia="es-AR"/>
              </w:rPr>
              <w:br/>
              <w:t>Gs. 4.000</w:t>
            </w:r>
            <w:r w:rsidRPr="001B7F27">
              <w:rPr>
                <w:rFonts w:ascii="Arial" w:eastAsia="Times New Roman" w:hAnsi="Arial" w:cs="Arial"/>
                <w:color w:val="003399"/>
                <w:sz w:val="17"/>
                <w:szCs w:val="17"/>
                <w:lang w:eastAsia="es-AR"/>
              </w:rPr>
              <w:br/>
              <w:t>Maneja despacio</w:t>
            </w:r>
            <w:r w:rsidRPr="001B7F27">
              <w:rPr>
                <w:rFonts w:ascii="Arial" w:eastAsia="Times New Roman" w:hAnsi="Arial" w:cs="Arial"/>
                <w:color w:val="003399"/>
                <w:sz w:val="17"/>
                <w:szCs w:val="17"/>
                <w:lang w:eastAsia="es-AR"/>
              </w:rPr>
              <w:br/>
              <w:t>Gs. 5.000</w:t>
            </w:r>
            <w:r w:rsidRPr="001B7F27">
              <w:rPr>
                <w:rFonts w:ascii="Arial" w:eastAsia="Times New Roman" w:hAnsi="Arial" w:cs="Arial"/>
                <w:color w:val="003399"/>
                <w:sz w:val="17"/>
                <w:szCs w:val="17"/>
                <w:lang w:eastAsia="es-AR"/>
              </w:rPr>
              <w:br/>
              <w:t>Gs. 2.000</w:t>
            </w:r>
            <w:r w:rsidRPr="001B7F27">
              <w:rPr>
                <w:rFonts w:ascii="Arial" w:eastAsia="Times New Roman" w:hAnsi="Arial" w:cs="Arial"/>
                <w:color w:val="003399"/>
                <w:sz w:val="17"/>
                <w:szCs w:val="17"/>
                <w:lang w:eastAsia="es-AR"/>
              </w:rPr>
              <w:br/>
              <w:t>Gs. 3.000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Desde el punto de vista de la eficiencia, es claro que para el conductor lo fundamental es manejar rápidamente, ya que ello le producirá mayores ganancias. Sin embargo, en este caso el accidente causaría mayores daños al peatón y el resultado final sería el peor desde el punto de vista de la eficiencia. La solución eficiente es la segunda – manejar moderadamente – y por ello debe determinarse cual es el factor de atribución que lleve a esta eventualidad.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Supongamos que fijamos una regla de responsabilidad por culpa para este tipo de accidentes. En este caso, la responsabilidad del conductor se basaría en la fórmula Hand, es decir, sería responsable solo en caso que no haya tomado las precauciones suficientes para lograr un resultado eficiente. Queda claro que en este caso las precaución es el manejo moderado, por lo que el conductor solo será responsable en caso que maneje rápidamente. En consecuencia, una regla de responsabilidad por culpa (negligencia) en este caso resulta eficiente.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Ahora supongamos que fijamos una regla por responsabilidad sin culpa u objetiva para estos accidentes. El chofer en esta situación no podrá evadirse de la responsabilidad como en el anterior, es decir, demostrando que llevó a cabo las medidas precautorias mínimas. En consecuencia, el conductor deberá considerar las posibles pérdidas que sus tres formas de manejar puedan incurrir, y conducirá moderadamente, ya que esta será la situación en que las pérdidas sean menores. Desde este punto de vista, la responsabilidad objetiva también es eficiente.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Este ejemplo, como bien lo señala Polinsky, sirve para determinar una regla clave del análisis económico de los accidentes: para aquellos accidentes en los que el objetivo de las normas es inducir al dañante a una conducta de diligencia debida, tanto la responsabilidad por culpa como la objetiva son factores de atribución eficientes85.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ejemplo, sin embargo, es incompleto: ¿no habíamos visto ya con Coase que todo accidente resultado de la actividad no solo del dañante sino también de la víctima? ¿Y no nos demuestra ello también la realidad? Ante estas interrogantes igualmente responde el análisis económico de la responsabilidad civil, como dice Salvador, “hay que complicar el modelo y pasar de la causación unilateral de daños o a la causación bilateral considerando que las dos partes contribuyen siempre a que una de ellas finalmente resulte dañada”86.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Retomando el ejemplo anterior del peatón y el conductor del coche, queda claro que el resultado del accidente varía según aquél cruce la calle en el medio de la avenida o en la esquina, y asimismo si lo hace caminando o corriendo. Supongamos (¡recuérdese el rol siempre importante de los supuestos!) que si el peatón corre en vez de caminar, hace que los daños se aumenten en un 10%, ya que su mayor velocidad al momento del impacto agrandarían los costos del accidente. Tendríamos entonces la siguiente tabla: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Conducta del conductor del automóvil</w:t>
            </w:r>
            <w:r w:rsidRPr="001B7F27">
              <w:rPr>
                <w:rFonts w:ascii="Arial" w:eastAsia="Times New Roman" w:hAnsi="Arial" w:cs="Arial"/>
                <w:color w:val="003399"/>
                <w:sz w:val="17"/>
                <w:szCs w:val="17"/>
                <w:lang w:eastAsia="es-AR"/>
              </w:rPr>
              <w:br/>
              <w:t>Beneficio esperado por el conductor</w:t>
            </w:r>
            <w:r w:rsidRPr="001B7F27">
              <w:rPr>
                <w:rFonts w:ascii="Arial" w:eastAsia="Times New Roman" w:hAnsi="Arial" w:cs="Arial"/>
                <w:color w:val="003399"/>
                <w:sz w:val="17"/>
                <w:szCs w:val="17"/>
                <w:lang w:eastAsia="es-AR"/>
              </w:rPr>
              <w:br/>
              <w:t>Daños eventuales del peatón</w:t>
            </w:r>
            <w:r w:rsidRPr="001B7F27">
              <w:rPr>
                <w:rFonts w:ascii="Arial" w:eastAsia="Times New Roman" w:hAnsi="Arial" w:cs="Arial"/>
                <w:color w:val="003399"/>
                <w:sz w:val="17"/>
                <w:szCs w:val="17"/>
                <w:lang w:eastAsia="es-AR"/>
              </w:rPr>
              <w:br/>
              <w:t>Total de los beneficios menos los costes del accidente</w:t>
            </w:r>
            <w:r w:rsidRPr="001B7F27">
              <w:rPr>
                <w:rFonts w:ascii="Arial" w:eastAsia="Times New Roman" w:hAnsi="Arial" w:cs="Arial"/>
                <w:color w:val="003399"/>
                <w:sz w:val="17"/>
                <w:szCs w:val="17"/>
                <w:lang w:eastAsia="es-AR"/>
              </w:rPr>
              <w:br/>
              <w:t>Maneja rápidamente</w:t>
            </w:r>
            <w:r w:rsidRPr="001B7F27">
              <w:rPr>
                <w:rFonts w:ascii="Arial" w:eastAsia="Times New Roman" w:hAnsi="Arial" w:cs="Arial"/>
                <w:color w:val="003399"/>
                <w:sz w:val="17"/>
                <w:szCs w:val="17"/>
                <w:lang w:eastAsia="es-AR"/>
              </w:rPr>
              <w:br/>
              <w:t>Gs. 12.000</w:t>
            </w:r>
            <w:r w:rsidRPr="001B7F27">
              <w:rPr>
                <w:rFonts w:ascii="Arial" w:eastAsia="Times New Roman" w:hAnsi="Arial" w:cs="Arial"/>
                <w:color w:val="003399"/>
                <w:sz w:val="17"/>
                <w:szCs w:val="17"/>
                <w:lang w:eastAsia="es-AR"/>
              </w:rPr>
              <w:br/>
              <w:t>Gs. 10.000 (si camina)</w:t>
            </w:r>
            <w:r w:rsidRPr="001B7F27">
              <w:rPr>
                <w:rFonts w:ascii="Arial" w:eastAsia="Times New Roman" w:hAnsi="Arial" w:cs="Arial"/>
                <w:color w:val="003399"/>
                <w:sz w:val="17"/>
                <w:szCs w:val="17"/>
                <w:lang w:eastAsia="es-AR"/>
              </w:rPr>
              <w:br/>
              <w:t>Gs. 11.000 (si corre)</w:t>
            </w:r>
            <w:r w:rsidRPr="001B7F27">
              <w:rPr>
                <w:rFonts w:ascii="Arial" w:eastAsia="Times New Roman" w:hAnsi="Arial" w:cs="Arial"/>
                <w:color w:val="003399"/>
                <w:sz w:val="17"/>
                <w:szCs w:val="17"/>
                <w:lang w:eastAsia="es-AR"/>
              </w:rPr>
              <w:br/>
              <w:t>Gs. 2.000 (si camina)</w:t>
            </w:r>
            <w:r w:rsidRPr="001B7F27">
              <w:rPr>
                <w:rFonts w:ascii="Arial" w:eastAsia="Times New Roman" w:hAnsi="Arial" w:cs="Arial"/>
                <w:color w:val="003399"/>
                <w:sz w:val="17"/>
                <w:szCs w:val="17"/>
                <w:lang w:eastAsia="es-AR"/>
              </w:rPr>
              <w:br/>
              <w:t>Gs. 1.000 (si corre)</w:t>
            </w:r>
            <w:r w:rsidRPr="001B7F27">
              <w:rPr>
                <w:rFonts w:ascii="Arial" w:eastAsia="Times New Roman" w:hAnsi="Arial" w:cs="Arial"/>
                <w:color w:val="003399"/>
                <w:sz w:val="17"/>
                <w:szCs w:val="17"/>
                <w:lang w:eastAsia="es-AR"/>
              </w:rPr>
              <w:br/>
              <w:t>Maneja moderadamente</w:t>
            </w:r>
            <w:r w:rsidRPr="001B7F27">
              <w:rPr>
                <w:rFonts w:ascii="Arial" w:eastAsia="Times New Roman" w:hAnsi="Arial" w:cs="Arial"/>
                <w:color w:val="003399"/>
                <w:sz w:val="17"/>
                <w:szCs w:val="17"/>
                <w:lang w:eastAsia="es-AR"/>
              </w:rPr>
              <w:br/>
              <w:t>Gs. 8.000</w:t>
            </w:r>
            <w:r w:rsidRPr="001B7F27">
              <w:rPr>
                <w:rFonts w:ascii="Arial" w:eastAsia="Times New Roman" w:hAnsi="Arial" w:cs="Arial"/>
                <w:color w:val="003399"/>
                <w:sz w:val="17"/>
                <w:szCs w:val="17"/>
                <w:lang w:eastAsia="es-AR"/>
              </w:rPr>
              <w:br/>
              <w:t>Gs. 4.000 (si camina)</w:t>
            </w:r>
            <w:r w:rsidRPr="001B7F27">
              <w:rPr>
                <w:rFonts w:ascii="Arial" w:eastAsia="Times New Roman" w:hAnsi="Arial" w:cs="Arial"/>
                <w:color w:val="003399"/>
                <w:sz w:val="17"/>
                <w:szCs w:val="17"/>
                <w:lang w:eastAsia="es-AR"/>
              </w:rPr>
              <w:br/>
              <w:t>Gs. 5.000 (si corre)</w:t>
            </w:r>
            <w:r w:rsidRPr="001B7F27">
              <w:rPr>
                <w:rFonts w:ascii="Arial" w:eastAsia="Times New Roman" w:hAnsi="Arial" w:cs="Arial"/>
                <w:color w:val="003399"/>
                <w:sz w:val="17"/>
                <w:szCs w:val="17"/>
                <w:lang w:eastAsia="es-AR"/>
              </w:rPr>
              <w:br/>
              <w:t>Gs. 4.000 (si camina)</w:t>
            </w:r>
            <w:r w:rsidRPr="001B7F27">
              <w:rPr>
                <w:rFonts w:ascii="Arial" w:eastAsia="Times New Roman" w:hAnsi="Arial" w:cs="Arial"/>
                <w:color w:val="003399"/>
                <w:sz w:val="17"/>
                <w:szCs w:val="17"/>
                <w:lang w:eastAsia="es-AR"/>
              </w:rPr>
              <w:br/>
              <w:t>Gs. 3.000 (si corre)</w:t>
            </w:r>
            <w:r w:rsidRPr="001B7F27">
              <w:rPr>
                <w:rFonts w:ascii="Arial" w:eastAsia="Times New Roman" w:hAnsi="Arial" w:cs="Arial"/>
                <w:color w:val="003399"/>
                <w:sz w:val="17"/>
                <w:szCs w:val="17"/>
                <w:lang w:eastAsia="es-AR"/>
              </w:rPr>
              <w:br/>
              <w:t>Maneja despacio</w:t>
            </w:r>
            <w:r w:rsidRPr="001B7F27">
              <w:rPr>
                <w:rFonts w:ascii="Arial" w:eastAsia="Times New Roman" w:hAnsi="Arial" w:cs="Arial"/>
                <w:color w:val="003399"/>
                <w:sz w:val="17"/>
                <w:szCs w:val="17"/>
                <w:lang w:eastAsia="es-AR"/>
              </w:rPr>
              <w:br/>
              <w:t>Gs. 5.000</w:t>
            </w:r>
            <w:r w:rsidRPr="001B7F27">
              <w:rPr>
                <w:rFonts w:ascii="Arial" w:eastAsia="Times New Roman" w:hAnsi="Arial" w:cs="Arial"/>
                <w:color w:val="003399"/>
                <w:sz w:val="17"/>
                <w:szCs w:val="17"/>
                <w:lang w:eastAsia="es-AR"/>
              </w:rPr>
              <w:br/>
              <w:t>Gs. 2.000 (si camina)</w:t>
            </w:r>
            <w:r w:rsidRPr="001B7F27">
              <w:rPr>
                <w:rFonts w:ascii="Arial" w:eastAsia="Times New Roman" w:hAnsi="Arial" w:cs="Arial"/>
                <w:color w:val="003399"/>
                <w:sz w:val="17"/>
                <w:szCs w:val="17"/>
                <w:lang w:eastAsia="es-AR"/>
              </w:rPr>
              <w:br/>
              <w:t>Gs. 3.000 (si corre)</w:t>
            </w:r>
            <w:r w:rsidRPr="001B7F27">
              <w:rPr>
                <w:rFonts w:ascii="Arial" w:eastAsia="Times New Roman" w:hAnsi="Arial" w:cs="Arial"/>
                <w:color w:val="003399"/>
                <w:sz w:val="17"/>
                <w:szCs w:val="17"/>
                <w:lang w:eastAsia="es-AR"/>
              </w:rPr>
              <w:br/>
              <w:t>Gs. 3.000 (si camina)</w:t>
            </w:r>
            <w:r w:rsidRPr="001B7F27">
              <w:rPr>
                <w:rFonts w:ascii="Arial" w:eastAsia="Times New Roman" w:hAnsi="Arial" w:cs="Arial"/>
                <w:color w:val="003399"/>
                <w:sz w:val="17"/>
                <w:szCs w:val="17"/>
                <w:lang w:eastAsia="es-AR"/>
              </w:rPr>
              <w:br/>
              <w:t>Gs. 2.000 (si corre)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Este modelo es más realista, ya que contempla la causación bilateral del accidente. En este caso, si mantenemos una responsabilidad objetiva o sin culpa en la que todo caiga sobre el dañante sin más consideraciones, no se alcanzará el resultado más eficiente, que se daría bajo el manejo moderado del conductor pero el peatón debe caminar (10% menos daño que en el supuesto que corra). Aquí entonces tenemos un supuesto de causación bilateral de daño y que se resuelve bajo la figura de la contributory negligence o culpa de la víctima: si se permite la responsable objetivamente liberarse de su responsabilidad demostrando negligencia contributiva de la víctima se obtiene una conducta eficiente (1) del conductor, y lo que es más importante (2) del peatón. El sistema de responsabilidad objetiva con exoneración (o reducción) en caso de culpa de la víctima conlleva al resultado eficiente. Omitimos mayores comentarios respecto al sistema de culpa en este caso, ya que en cualquier caso (aunque no haya defensa de compensación de culpas) se llegaría al resultado eficiente.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se ve, el ejemplo del conductor-peatón es interesante desde una doble perspectiva: ilustra en primer lugar el aspecto positivo del análisis económico del derecho, es decir, explica como funcionan desde un enfoque costo-beneficio una institución jurídica, e igualmente, sienta bases para la proposición de posibles reformas legislativas, o hace análisis normativo del derecho.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Hasta aquí hemos analizado una parte (necesariamente ínfima) del análisis económico de la responsabilidad civil, pero no hemos hecho referencia alguna al Teorema de Coase. Después de haber resaltado su importancia en el análisis económico del derecho, ¿es esto una incoherencia? Es que en principio, parecería ser que el Teorema de Coase es absolutamente impracticable desde el punto de vista de los daños y accidentes. En efecto, los costos de transacción son aquí tan elevados que en realidad son prohibitivos: imaginemos que todos los conductores y todos los peatones se sienten a negociar cuales serían los efectos de sus actividades. Pero la realidad para Law &amp; Economics es otra: Coase es útil aún en estos casos. Solo hay que construir el modelo suponiendo que el conductor y el peatón en realidad pudieron haberse sentado y negociado cual hubiese sido la salida más eficiente (y como se ve, hubieran elegido conducir moderadamente).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Un ejemplo87 ilustrará mejor esta idea: un hombre ve a un niño jugando en las vías del tren. En ese momento se acerca a gran velocidad un ferrocarril hacia el lugar en el que se encontraba el niño. El hombre corrió hasta el niño y logró salvarlo mediante un fuerte empujón, pero él mismo fue atropellado por la locomotora, muriendo en el instante. ¿Debe en este caso la compañía ferroviaria indemnizar a los familiares del hombre fallecido, o bien, debe asumir el daño el hombre (y sus familiares) por haber cometido una acción altamente riesgosa? En este punto del análisis entra a jugar el argumento coasiano: si asumimos la inexistencia de costos de transacción y la compañía ferroviaria pudiese negociar genéricamente y sin costo contratos, según los cuales pagaría a personas que rescaten criaturas en las vías de los trenes y sufran daños por muerte o heridas en el intento, ¿lo haría? Seguramente que si. Ello, si suponemos por un instante que tanto la vida del hombre como la de la criatura tienen un valor importante, y la posibilidad de que el hombre muera en el rescate es solo del 10% (un caso cada diez). Los beneficios de tal contrato para la compañía son evidentes: solo en uno de cada diez casos pagaría suma alguna en concepto de indemnizaciones, salvándose en los nueve restantes de pagar, tanto a los niños jugando en las vías como a los rescatadores.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Finalmente, no podemos concluir esta sección sin antes mencionar un logro fundamental de la literatura económica de la responsabilidad civil: demostrar que el hecho dañoso (accidente) no se reduce al daño propio del caso sino que se extiende a otros factores: costos de administración, litigio, seguros, etc (recordar a Calabresi). Cualquier buen libro de responsabilidad civil de nuestros lares (por ej. Bustamante Alsina, Alterini o Peirano Facio) son absolutamente prescindentes de factores como los seguros, los impuestos indirectos, la seguridad social, los mecanismos de compensación laboral y otros mecanismos existentes en las sociedades actuales para internalizar los costos de los accidentes dañosos y que cumplen la misma función que el sistema de responsabilidad civil. El sistema de responsabilidad civil tal cual se lo entiende clásicamente (daño, culpa, antijuridicidad, causalidad, reparación) juega un rol importante en la reparación de accidentes en la sociedad moderna, pero ni mucho menos es el actor principal como puede creerse: seguros privados, seguros públicos, seguros sociales, esquemas de compensación de trabajadores, impuestos “verdes” (medioambientales o antipolución) y otras instituciones compiten y coexisten con el derecho de daños para la reparación y reducción de los costos sociales de los accidentes88.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Desde esta óptica, la crítica del análisis económico nos da una perspectiva abarcativa capaz de derribar las artificiosas divisiones que se han formado entre las materias que conforman la enciclopedia jurídica y que no responden sino a razones históricas o caprichos dogmáticos. No puede deslindarse a la responsabilidad civil de los demás mecanismos legales reparadores de daños como si fuesen cosas completamente distintas; es más, muchos de los problemas del análisis civilístico provienen de este astigmatismo jurídico. Como explica Salvador Coderch,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cultura jurídica académica se divide artificiosamente en gremios y la responsabilidad civil cae dentro del círculo de actividades propias de los civilistas, pero el derecho de seguros lo estudian primariamente los mercantilistas: el resultado suele ser que pocos civilistas tratan sobre seguros y escasos mercantilistas analiza el derecho de daños, algo así como si unos cardiólogos se especializaran en aurículas y otros en ventrículos. Pero no debemos olvidar que la conexión entre responsabilidad civil y seguros es obvia .... ya que la visión debe responder a un estudio conjunto del derecho de daños, del seguro y de otros sistemas de compensación89.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Segundo caso: análisis económico de los contratos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Teorema de Coase, ya hemos dicho, indica que cuando los costos de transacción son inexistentes, las partes llegarán siempre al resultado eficiente, sin importar la asignación inicial de los derechos y obligaciones. Las normas jurídicas entonces deben centrarse en reducir los costos de transacción o en su caso, en idealizar una situación sin costos de transacción, a fin de determinar la directiva que logre el resultado más eficiente.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Una primera premisa del análisis económico entonces es la justificación misma del contrato como herramienta social: el contrato es un instrumento clave para la disminución de los costos de transacción en el tráfico jurídico. Además, mediante el contrato, los bienes pasan a las manos de aquellos que más lo valoran, ya que es lógico que una persona compre una cosa solo cuando ello, desde la perspectiva costo-beneficio, le es útil o beneficioso. De todo esto se colige que las normas que componen el derecho de los contratos necesariamente favorecen la práctica social de cooperación a través de promesas y prestaciones. Las normas del derecho contractual, desde la óptica económica, deben incentivar la fácil negociación y conclusión de contratos, y lo que es más importante, fijar los incentivos para que los contratantes los cumplan sus promesas y así la sociedad se vuelva mas rica.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Además, el contrato, desde la óptica económica, es un ejemplo clásico de lo que se conoce como Eficiencia de Pareto o Pareto óptimo90. La eficiencia de Pareto es una situación ideal que se da entre dos (o más) personas, según la cual la ganancia de una no afecta a la otra ni disminuye sus utilidades. Puesto en otros términos, una situación de óptimo Pareto se da cuando una transacción deja por lo menos a uno de los sujetos en una mejor situación sin perjudicar la situación del otro. Pareto es una situación eficiente por excelencia, casi un desideratum económico, a la que el contrato claramente se asemeja: es difícil pensar que una persona firme un contrato si ello le produce un daño o un resultado adverso a sus intereses.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ahí que otra premisa fundamental del análisis económico de los contratos sea una presunción a favor de la libertad contractual (o lo que se denomina (erróneamente) en nuestra literatura como autonomía de la voluntad) que </w:t>
            </w:r>
            <w:r w:rsidRPr="001B7F27">
              <w:rPr>
                <w:rFonts w:ascii="Arial" w:eastAsia="Times New Roman" w:hAnsi="Arial" w:cs="Arial"/>
                <w:color w:val="003399"/>
                <w:sz w:val="17"/>
                <w:szCs w:val="17"/>
                <w:lang w:eastAsia="es-AR"/>
              </w:rPr>
              <w:lastRenderedPageBreak/>
              <w:t xml:space="preserve">impregna al derecho contractual: las personas pueden celebrar libremente sus contratos y los jueces y tribunales deben hacerlos cumplir. Como bien explica Eric Posner,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los sujetos contratantes son racionales, solamente celebrarán contratos cuando ello les convenga, y solo acordarán cláusulas que les beneficie y les haga quedar en una situación más provechosa. Los jueces que se nieguen a hacer cumplir los contratos harán que en el futuro sea más difícil que las personas celebren contratos que sirvan para mejorar su bienestar conjunto. Por ello, los jueces deben hacer cumplir obligatoriamente las disposiciones de los contratos91.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Hasta aquí hemos señalado dos premisas del análisis económico del contrato: primero, el contrato es bueno, y segundo, debe dejarse a los particulares determinar lo que más le conviene y ello debe ser obligatorio. Pero existen otros dos principios fundamentales. El primero gira alrededor de la idea de la cooperación (o confianza). Es evidente que la práctica de contratación requiere de una recíproca cooperación entre los agentes, ya que uno tiene lo que el otro quiere y viceversa. Ahora bien, también es claro que esta cooperación – base de la relación contractual – puede surgir y efectuarse voluntariamente, es decir sin intervención del derecho. Pero un mero voluntarismo no llevaría a resultados eficientes: ante la primera contingencia negativa, una parte puede sencillamente cambiar de opinión y dejar de cumplir el contrato. De allí que el derecho de los contratos exija que una vez que las partes hayan intercambiados promesas las mismas sean obligatorias. Este carácter central del contrato – su compulsoriedad – cumple con una función esencial del derecho contractual y evita lo que para Posner es el mal principal de las relaciones sociales cooperativas: el oportunismo.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función principal del derecho de los contratos (y esto se ha tenido por cierto al menos desde tiempos de Hobbes) es la de disuadir a las personas de actuar en forma oportunística hacia sus contrapartes contractuales, a fin de promover la eficiencia óptima de la actividad económica y obviar medidas autoprotectivas de los contratantes demasiado costosas e ineficientes92.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hecho, el principio de la buena fe, ampliamente reconocido por la doctrina tradicional de la actualidad como el corazón del contrato93, tiene un sustrato eminentemente económico: evitar el oportunismo de las partes contratantes y el abuso de confianza, fortaleciendo el rol del contrato en las relaciones sociales. La lealtad a la otra parte y el cumplimiento del contrato deben enmarcarse dentro de una conducta guiada por la pauta genérica interpretativa (y normativa!) de la buena fe. Como bien explica Posner, es lógico suponer que las personas que celebran un contrato de haber podido hacerlo, hubieran prohibido conductas sorpresivas o de mala fe, aunque no lo hayan dicho expresamente al celebrarlo94.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Además, otra función fundamental del derecho de los contratos es la que podríamos llamar su función supletoria (gap filling). Si dos personas celebran un contrato de suministro a largo plazo, queda claro que durante la ejecución del mismo pueden surgir una serie de imprevistos o contingencias que modifiquen los términos originales del contrato. Cuanto mayor sea el plazo del contrato, mayor será la probabilidad que ocurran contingencias negativas. La solución parecería ser sencilla: las partes deben prever al contratar todas estas contingencias y determinar quién correrá con el riesgo en ese caso. Pero esto es sencillamente imposible. En primer lugar, implica la posibilidad de hacer futurología. Y en segundo lugar, porque la actividad contractual es costosa: lleva tiempo, gastos, etc. Imagínese a dos personas celebrando un contrato de cinco años de duración y debiendo prever las contingencias infinitas que pueden ocurrir, tanto a nivel general de la economía, como a nivel personal de los contratantes. Ello, a más de ser ilógico, es ineficiente.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Desde este punto de vista, el derecho de los contratos es un derecho de “lagunas”: deben preverse todas las situaciones y riesgos que las partes no previeron y distribuirse según cánones mínimos de eficiencia. Como expone claramente Polinsky,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derecho de los contratos puede ser visto como llenador de los “agujeros” que existen en los contratos – su objeto es reproducir lo que las partes hubieran acordado en caso que ellos hayan planeado la contingencia ab initio. Siendo que las partes hubiesen incluido cláusulas contractuales que maximicen sus beneficios conjuntos – ambas partes pueden ser beneficiadas mutuamente – este enfoque es equivalente a diseñar el derecho contractual de conformidad al criterio de eficiencia95.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sentido, queda claro que prácticamente la totalidad del Libro III de nuestro Código Civil cumple esta función, ya que contiene un verdadero catálogo de contingencias a las cuales las partes – y los jueces – se remitirán en su caso. Se evita así que las partes inviertan innecesariamente su tiempo (y recursos) en la negociación de un contrato completo: solo fijarán las pautas fundamentales y se remitirán a la normativa supletoria para solucionar el resto de sus problemas. Es por esta razón que se ha dicho que un propósito fundamental del derecho de los contratos es la minimización de los costos de transacción de la negociación contractual mediante la provisión de reglas supletorias eficientes96.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¿Cómo se diseña un derecho contractual que tienda hacia la eficiencia? No existe una única respuesta: las mismas varían y se aplican a diversos estadios de la doctrina contractual.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Lo primero es establecer mecanismos que incentiven a las partes a celebrar contratos, creando el ambiente adecuado para que entren en negociaciones y distribuyan de manera más eficiente los recursos. Un ejemplo de esto podría ser el paso de un mecanismo real de contratación, que exige la traslación física de las cosas para su perfeccionamiento, a uno basado en el consenso o consensual. El hecho que este cambio se haya producido precisamente en el auge de la revolución industrial y en época de la adopción de un sistema de mercado y libre intercambio de bienes no es coincidencia. Asimismo, la exigencia de algún tipo de formalidad, como ser el tradicional mecanismo de oferta/aceptación y la prueba de los contratos por escrito tiende a una contratación eficiente, ya que evita que las personas se vean obligadas a cumplir con obligaciones a las que no consintieron realmente y que no constan en documento alguno, saneándose así la práctica contractual entre los agentes sociales97.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el aspecto más importante referente al análisis económico del contrato es el relativo a los efectos del mismo, y en especial, al incumplimiento contractual. Si resulta conveniente (como ya hemos dicho) que las obligaciones contractuales sean cumplidas, entonces cae de maduro que deben preverse remedios y acciones para que las personas sean incentivadas a su cumplimiento.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análisis económico del derecho propugna aquí una visión diferente del incumplimiento contractual a la adoptada por el análisis tradicional. Según el análisis tradicional, el incumplimiento de un contrato debe ser equiparado a un ilícito civil, por lo que corresponde la indemnización y reparación de un daño. La óptica económica es distinta, como bien lo explica Shavell: los remedios contractuales deben ser vistos no como acciones que dan nacimiento a una indemnización sino como incentivos para hacer obligatorios a los contratos: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obligatoriedad del contrato se logra al imponer a la parte que no cumple la obligación de pagar a la otra parte los daños pertinentes. El efecto de esto es incentivar al cumplimiento de los contratos en general, lo cual a su vez acentúa el valor de los contratos no solo para las partes sino para la sociedad toda. Una ventaja menos evidente pero no menos importante del pago de daños por incumplimiento es que se constituyen en una válvula de escape que pueden utilizar las partes cuando el cumplimiento de un contrato se torna difícil y es mas eficiente incumplirlo que llevarlo adelante. Esto último no solo es ventajoso para las partes sino también para la sociedad: no es deseable desde el punto de la eficiencia que las partes ejecuten un contrato cuando los costos sean mayores que los beneficios98.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Gran parte del análisis económico del contrato ha girado alrededor de los remedios contractuales, y en especial, consignando cuales fijan los incentivos adecuados para llegar a las salidas más eficientes. En lo que a nosotros nos concierne, aquí se hace más difícil el análisis, ya que el sistema remedial del common law opera en forma bastante disímil al nuestro. Mientras que el incumplimiento da en nuestro sistema nacimiento o a una acción tendiente al cumplimiento forzoso o directamente a un remedio indemnizatorio, en el common law existen tres tipos de remedios indemnizatorios: los expectation damages, reliance damages y la restitution.99 Ninguna de estas figuras puede traducirse directamente a nuestro sistema, por lo que necesariamente el interés al llevarlo a nuestro derecho disminuye, razón por la cual no entraremos a describir esta parte del análisis económico del contrato. Sin embargo, nos dedicaremos brevemente a dos aspectos referentes a los efectos del contrato que son de interés para nuestro análisis: la indiferencia de Law &amp; Economics al cumplimiento forzoso y la teoría del incumplimiento eficiente o efficient breach.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Desde la perspectiva de nuestro derecho, la obligación contractual es, valga la redundancia, obligatoria: quién celebra un contrato está constreñido a cumplirlo. En caso que una de las partes no quiera ejecutar el contrato, la otra parte tiene la acción de cumplimiento forzoso; el acreedor está facultado por ley a emplear los medios legales a fin de que el deudor cumpla con la prestación o que hacerla cumplir a costa del obligado. El deudor debe entregar la misma cosa o cumplir exactamente el hecho a que estuviere obligado, no pudiendo sustituirlo con los daños y perjuicios de la inejecución o mediante otra cosa o hecho, aunque fueren de mayor valor100.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perspectiva que el contrato da lugar a la acción de cumplimiento está tan enraizada en nuestra tradición civilística que se la da por sentado y es incuestionable. Pero la perspectiva es distinta para los cultores de Law &amp; Economics101. Supongamos que una persona celebra una compraventa a fin de que la otra le entregue una cosa determinada. La parte obligada a la entrega, al momento de la ejecución, prefiere pagar los daños y evita así el cumplimiento del contrato. Ello no es posible si el remedio del cumplimiento forzoso es aplicado: el juez ordenará la entrega de la cosa mediante el proceso correspondiente. Pero, como señala Posner, ello presenta un problema. El hecho que el vendedor se haya rehusado al cumplimiento del contrato nos da la pauta que existe otra transacción que valora más y por ello será más provechosa para ambas partes, por lo que sería preferible desde la eficiencia estimular el incumplimiento del contrato. En consecuencia, en este caso, el cumplimiento forzoso será un remedio ineficiente ya que obligará a que se ejecute un contrato que produce menos utilidades que otro que es preferido. Pero además, existe otra razón para preferir el pago de daños al cumplimiento forzoso: los costos administrativos del cumplimiento forzoso. Como dice Posner, el pago de daños supone la fijación aritmética de una suma de dinero, mientras que el cumplimiento forzoso implica que el tribunal siga con el caso hasta que el cumplimiento sea completo; y como los costos del sistema judicial no caen exclusivamente sobre las partes sino que son externalizados en general, el mecanismo produce resultados ineficientes102. Ello explica a que el cumplimiento forzoso sea en el common law una situación excepcional.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Otro aspecto resaltante del análisis económico del contrato ha sido la construcción de la llamada teoría del incumplimiento eficiente o efficient breach. Esta idea parte nuevamente del principio Paretiano: si el incumplimiento de un contrato válido celebrado deja en una mejor situación tanto al incumplidor como a la otra parte contratante, entonces la ley debe preferir el incumplimiento a la ejecución del contrato. Como ha dicho Friedmann, según esta postura, el derecho a violar un contrato no se basa en un derecho subjetivo de origen contractual, sino en el hecho que la inejecución del contrato llevaría a una utilización más eficiente de los recursos, por lo que es preferible a su ejecución103. La mecánica del incumplimiento eficiente se enmarca así dentro del esquema general del enfoque económico: la inejecución eficiente del contrato es ventajosa desde el punto de vista de la sociedad en general, ya que promueve la eficiencia; no es deseable que las partes ejecuten un contrato si el costo de hacerlo es mayor que el beneficio de incumplirlo.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caracterización del contrato como un mecanismo de asignación de riesgos (risk allocation) ha sido otro logro importante del análisis económico descriptivo (y normativo) del contrato. Si bien este hecho desde el punto de vista práctico resulta una obviedad – quién contrata hace un planificación futura de parte de sus actividades – ello ha escapado notoriamente al análisis dogmático tradicional, que prefiere ver al contrato desde una óptica metafísica (el “acuerdo de voluntades” o “meeting of minds”) o bien desde un punto de vista técnico-dogmático (como un “acto jurídico bilateral patrimonial”). La adopción del enfoque “contrato como asignación de riesgos” a más de ser fructífera para el análisis, es altamente realista y evita los problemas que muchas se suscitan en la doctrina para resolver cuestiones como la frustración del contrato, la imposibilidad en el cumplimiento, la imprevisión y otras contingencias104.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Consideremos por un momento los famosos casos relativos a la guerra de 1967 en el Medio Oriente105. En uno de ellos, una compañía petrolera firmó un contrato para entregar petróleo del Medio Oriente a un fabricante europeo en cierta fecha. Antes de que se entregue el petróleo, estalló una guerra en el país exportador y la compañía petrolera no pudo cumplir el contrato. La falta de petróleo hizo que el fabricante europeo disminuya su producción y que bajaran sus utilidades. El fabricante entonces demandó a la compañía petrolera por incumplimiento del contrato y solicitó indemnización de daños y perjuicios. El contrato celebrado no contenía ninguna cláusula al respecto, es decir, no preveía la posibilidad que estallara una guerra y no pudiera cumplirse el contrato, por lo que estamos ante un claro caso de laguna contractual. Como señalan Cooter &amp; Ulen, en estos casos, desde el punto de vista económico, el juez debe asignar la pérdida derivada del contrato de tal modo a lograr que el comportamiento contractual sea más eficiente en el futuro: deben fijarse incentivos legales de manera tal a que las partes tomen las precauciones necesarias para evitar que los contratos se vuelvan ineficientes, tal cual el caso de la entrega del petróleo. La pregunta a responder entonces es: ¿cuál de las dos partes pudo haber previsto en forma más económica la guerra para evitar que el contrato se vuelva inútil? En este caso particular, es claro que quién estaba en mejor posición para haber tomado las precauciones necesarias era la compañía del Medio Oriente: pudo haber evitado el incumplimiento tomando medidas previas tales como haber previsto rutas de transporte alternativa, o comprar el petróleo en otra parte, etc. Como principio general, entonces, puede señalarse que en los casos que una contingencia vuelva imposible al contrato (imposibilidad, caso fortuito, fuerza mayor), o excesivamente oneroso (imprevisión) o finalmente inútil (frustración del contrato), la solución acorde con la eficiencia económica es la de asignar la responsabilidad a la parte que pudo haber asumido el riesgo a un costo menor106. Y no solo es la solución eficiente: evita caer en las marañas conceptuales tan afectas a la dogmática y que oscurecen el análisis de este tipo de situaciones.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Algo similar puede decirse de lo que ocurre al estudiar bajo el lente económico la famosa “Teoría de las relaciones contractuales de hecho de Haupt” o “relaciones contractuales fácticas”, que tanto dolor de cabeza ha causado a los doctrinarios del contrato. Piénsese la situación creada por un avión que ante dificultades técnicas se ve obligado a efectuar un aterrizaje forzoso en una pista privada, ¿existe en este caso un contrato pagando la utilización de la pista? O el caso del doctor que encuentra a una persona extraña inconsciente y a punto de morir tirada en la calzada y lo atiende, ¿se le deben honorarios? Desde la óptica económica, estos casos deben solucionarse utilizando el Teorema de Coase. Los costos de transacción son extremadamente altos y hasta prohibitivos en los tres supuestos: no puede suponerse que el piloto de la aeronave en peligro se ponga a negociar con el propietario de la pista, o peor, que el paciente inconsciente celebre un contrato. Si luego de suponer que no existían costos de transacción resulta razonable prever que las partes hubiesen celebrado los contratos, entonces la ley considerará que hubo un contrato (de ahí la denominación anglosajona de contrato implícito o implied contracts). En dos de los tres casos estudiados la solución es clara: tanto el piloto como el hombre inconsciente abandonado a su suerte en la calle hubiesen celebrado un contrato si eso era posible, por lo que debe considerarse que si hubo un contrato implícito en ambos casos.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Otras áreas del 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análisis económico del derecho no se detiene en el contrato y la responsabilidad civil ni mucho menos. No ha existido área del derecho que no haya sucumbido al Law &amp; Economics: los derechos reales, el derecho de familia, el derecho penal, el derecho procesal, derecho tributario, el derecho de la competencia, el derecho societario y hasta el derecho constitucional. Por supuesto que entrar a estudiar cada área escapa al propósito de este trabajo, pero haremos algunas breves referencias.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Para el derecho penal, por ejemplo, se ha propuesto la adopción del esquema de elección racional y poder visualizar así a los delitos y sanciones como precios: un criminal solo cometerá un delito (“comprará” la sanción) en los casos que el mismo entienda que ello le producirá más costos que beneficios. El enfoque económico del delito tiene sus raíces en Bentham, para quién los criminales – a pesar de lo que pudiera parecer en primera instancia – actúan en forma bastante racional y responden a incentivos. Si la decisión de cometer un delito se basa en el análisis costo-beneficio, resulta evidente que cuanto mayores sean las penas, menores serán los crímenes. El trabajo de Bentham fue ampliado en el siglo XX por Gary Becker y otros, que han producido una literatura económica del delito “retributiva” y “disuasoria”, alternativa a la postura de la “rehabilitación criminal” que se ha vuelto dominante en esta época de los derechos humanos y el garantismo. Becker justifica la adopción del análisis económico del delito: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Muchos intelectuales y políticos continúan poniendo menos atención a la policía y el castigo del crimen ya que creen que la prioridad debería ser la rehabilitación de los criminales y la aliviación de las causas del crimen: racismo, desempleo, familias inestables, malas escuelas, etc. Pero la evidencia es bastante fuerte en el sentido que es difícil rehabilitar a delincuentes, y además, las políticas públicas pueden hacer poco en un corto plazo para reducir los problemas mencionados. La postura a favor de más policía y más castigo se funda en los impactos inmediatos de estas medidas. No necesitan de una generación para hacerse efectivos: reducen el crimen rápidamente107.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derecho de familia tampoco ha escapado al análisis económico del derecho. Posner108 ha hecho un estudio descriptivo de la familia que describe en forma sorprendente algunos de los cambios que ha sufrido la institución. Por ejemplo, el declive que ha sufrido el matrimonio (sobre todo en países del Primer Mundo) y la disparada de la tasa de divorcios demuestra que los costos del matrimonio han ido alcanzando y superando a sus beneficios. Esto se explica con el hecho que un pilar fundamental del matrimonio, que era el de tener muchos hijos dada la alta mortalidad infantil (razón por la cual las mujeres de antaño vivían embarazadas) ha disminuido con la baja correlativa de la mortandad infantil; asimismo, desde el momento que la mujer se ha liberado del yugo matrimonial y ha alcanzado cierta independencia económica, lo cual le da una salida a la vida conyugal que hace cien años no existía. También se han estudiado las causales de disolución del vínculo matrimonial, y los resultados que ello ha tenido en la institución. Por ejemplo, Becker ha estudiado la normativa de “divorcio sin expresión de causa” vigente en varios estados de los Estados Unidos, señalando que la misma termina perjudicando a los hijos, ya que la esposa se ve obligada necesariamente – ante la posibilidad de un divorcio fácil pedido unilateralmente por su marido - a mantenerse trabajando sin parar y sin poder atender a los hijos en forma integral109. Finalmente, otro beneficio aportado por Law &amp; Economics al estudio del derecho de familia ha sido la perspectiva de estudiar a la familia no como una institución meramente pasiva, sino como una unidad productiva de bienes y servicios de fundamental importancia en la sociedad. Desde esta óptica, la unidad productora denominada “familia” tiene un elemento central: la mujer, que carga con gran parte de las funciones de en la institución. Por ello, el enfoque económico ha ayudado en muchas oportunidades a valorizar y proteger en forma más adecuada el status de la mujer en las relaciones de familia.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avances de un sector de Law &amp; Economics – public choice theory – han llevado al estudio económico de grandes ramas del derecho público, y en forma más osada, al derecho constitucional. Uno de los más importantes exponentes del movimiento ha escrito recientemente un interesante libro en el cual propone que el diseño de la Constitución de un país no se apegue solo a construcciones teóricas o dogmáticas, sino más bien en las posibles consecuencias que pueda tener la adopción de determinada forma de gobierno, o distribución de poderes o sistema económico o el reconocimiento de derechos fundamentales sobre las conductas y el bienestar de los ciudadanos110. Gráficamente, ha dicho este autor que deben “tomarse las consecuencias reales de las normas constitucionales en serio” para la construcción de constituciones políticas y sus efectos sobre el bienestar de los individuos. Así, en esta perspectiva, se analiza la conveniencia de la adopción del sistema político (federal, unitario, etc.) o de las formas de gobierno (presidencialismo, parlamentarismo, sistemas mixtos, etc.), en un estudio que no deja de ser provocador e interesante, sobre todo en nuestra cultura jurídica, tan apegada al conceptualismo vacuo.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Está bien, me convierto a Law &amp; Economics, ¿o 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Hasta aquí hemos reseñado brevemente las ideas que alimentan la estructura del pensamiento económico del derecho, e igualmente hemos analizado algunos de los modelos y áreas de estudio que se han puesto bajo la lupa económica. El análisis económico del derecho, hemos visto, tiene algunos aspectos altamente positivos y presenta ventajas sobre el enfoque tradicional. La idea que las normas jurídicas no son entes asépticos, mandatos divinos postrados en un mundo del deber ser, sino mecanismos de “carne y hueso” que funcionan como incentivos que afectan directamente al individuo y su bienestar, a más de esclarecedora, es francamente realista. El análisis tradicional, más preocupado en la coherencia lógica del sistema, muchas veces pasa por alto la obviedad que una norma jurídica puede modificar profundamente la vida de las personas. Asimismo, el estudio de los fenómenos legales desde la óptica económica derriba las barreras artificiales que la dogmática ha erigido en su tarea, lo cual esclarece muchos temas que se han ensombrecidos con años de polvareda conceptual. Finalmente, el análisis económico del derecho es válido desde el momento que varias instituciones jurídicas, por debajo de su pesado ropaje dogmático, tienen un sustrato eminentemente económico. Como ha dicho con justeza Posner, no debe sorprendernos que gran parte de las instituciones jurídicas y doctrinas legales tengan una lógica económica, especialmente si consideramos que muchas de las doctrinas jurídicas contemporáneas son fruto de la ideología liberal (laissez-fairista) basada en la economía clásica, que era la ideología dominante de las clases educadas de la </w:t>
            </w:r>
            <w:r w:rsidRPr="001B7F27">
              <w:rPr>
                <w:rFonts w:ascii="Arial" w:eastAsia="Times New Roman" w:hAnsi="Arial" w:cs="Arial"/>
                <w:color w:val="003399"/>
                <w:sz w:val="17"/>
                <w:szCs w:val="17"/>
                <w:lang w:eastAsia="es-AR"/>
              </w:rPr>
              <w:lastRenderedPageBreak/>
              <w:t>época111. Si a todo esto le sumamos el prestigio de la economía dentro de las ciencias sociales, y el hecho que da una base objetiva para la toma de decisiones y la adopción de políticas públicas, Law &amp; Economics se presenta como una oferta difícil de vencer en el mercado jurídico-doctrinario.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el enfoque económico no ha estado exento a las críticas, las cuales han ido de dardos sutiles a verdaderos intentos de demonizar el movimiento112. Las críticas a Law &amp; Economics son numerosas, pero pueden agruparse para su estudio en categorías, que van de lo general a lo particular, ya que no tienen todas el mismo nivel discursivo. Además, debemos notar que no todas las críticas se aplican a todas las doctrinas jurídico-económicas; así, muchas de las críticas se han centrado en los exponentes más famosos del movimiento, en especial sobre Posner. Esto oscurece el análisis un tanto, ya que si bien la teoría posneriana sigue siendo importante, no es la única.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Hecha esta salvedad, podemos separar a la críticas al movimiento en filosóficas, epistemológicas, ideológicas, jurídico-filosóficas, además de la crítica distributiva y las críticas internas.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críticas filosóficas a Law &amp; Economics apuntan directamente a los fundamentos en los que se basa intelectualmente el enfoque. En forma general puede decirse que el análisis económico del derecho se enmarca dentro de la doctrina filosófica conocida como consecuencialismo. Para esta corriente de pensamiento, el valor de las ideas debe medirse básicamente por las consecuencias que tienen en las personas y en el mundo. De manera más precisa, se ha dicho que el consecuencialismo es la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“doctrina moral según la cual el acto correcto en cualquier situación es aquél que producirá el mejor resultado en para la sociedad en general, juzgando el mismo desde un punto de vista impersonal que mide de igual manera los objetivos de todos”113.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corriente más famosa dentro del consecuencialismo es el utilitarismo, hecho famoso por Bentham y su idea de “maximización de la felicidad”. Otra vertiente del consecuencialismo que ha tenido considerable éxito, sobre todo en los Estados Unidos (y últimamente en la filosofía continental a partir de las ideas expuestas por el filósofo alemán Jurgen Habermas) es el pragmatismo filosófico, del cual existe una vertiente denominada neopragmatismo (identificada con la obra del filósofo norteamericano Richard Rorty). El pragmatismo sostiene que el valor de una idea o doctrina debe medirse por los resultados prácticos y los efectos positivos que produce en la realidad. Es decir, por sus consecuencias.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análisis económico del derecho, desde el momento que parte del principio de eficiencia como fundamento de las normas jurídicas, se enmarca claramente dentro del consecuencialismo filosófico: lo importante de las normas jurídicas son sus efectos sobre los individuos y sobre la eficiencia. Es fundamental, repiten los cultores del movimiento, lograr el bienestar de las personas, “hacer que las normas jurídicas hagan que la torta sea lo más grande posible”. De hecho, las críticas hechas en un principio al movimiento (como por ejemplo la efectuada el eminente jurista inglés H.L.A. Hart) eran contra el carácter utilitario de la escuela, y en especial, la idea de “maximización de riqueza” que caracterizaba al derecho, tal cual fue expuesta por Posner. Tampoco debe sorprender que el propio Posner, figura central de la escuela, haya adoptado posteriormente y en forma expresa el rótulo de “pragmático”.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crítica quizás más famosa al pensamiento consecuencialista (dirigida realmente al utilitarismo pero aplicable en general) fue la hecha por John Rawls, quién en una célebre frase desvirtuó al mismo: el utilitarismo (consecuencialismo) no toma en serio las diferencias entre los individuos114. En efecto, si el objetivo de las normas es maximizar las utilidades (o la riqueza), queda claro que en el camino quedarán necesariamente personas afuera del sistema. Este es el eterno dilema del utilitarismo y las doctrinas afines: determinar si el aumento de felicidad, utilidad o riqueza de unos pocos (o de la generalidad de la sociedad) puede justificar el sufrimiento y el sacrificio del resto115. El famoso ejemplo es el de la esclavitud. Si un sistema esclavista es más eficiente y produce mayor riqueza para la sociedad en general, el mismo es legítimo y debe ser adoptado. El perjuicio de los esclavos no entra en el esquema, ya que si la generalidad de la sociedad es más rica, entonces la institución queda legitimada. Puesto en términos de Law &amp; Economics: si la legalización del tráfico de bebés hace más rica a la sociedad, si es más eficiente que su prohibición, entonces legalicémoslo. Quienes sostengan desde el punto de vista filosófico y moral doctrinas apartadas del consecuencialismo, como el enfoque kantiano (o neokantiano), el aristotélico, etc. rechazarán de plano al movimiento de Law &amp; Economics116.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críticas epistemológicas se dirigen más al lado económico del binomio derecho-economía, y parten justamente de la base que los fundamentos científicos de la Economía como ciencia social – especialmente de la economía neoclásica que vimos domina al movimiento - se encuentran viciados y son erróneos. El objeto de crítica en esta posición son los supuestos metodológicos de la economía que hemos discutido más arriba, como la teoría de la elección racional, el individualismo metodológico, etc. Las críticas han sido hechas por filósofos del conocimiento como Bunge y otros, y asimismo por economistas críticos del enfoque neoclásico, tales como Amartya Sen y – aunque parezca sorprendente – el propio Ronald Coase. Las críticas epistemológicas van desde las más suaves – bastan unos retoques al criterio de la elección racional – a otras que son contundentes – Bunge califica a la microeconomía actual como “semiciencia”.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La primera crítica que se formula ataca directamente al corazón del enfoque económico: la teoría de la elección racional. La postura que todas las personas en todos sus actos actúan siempre racionalmente para maximizar sus utilidades es chocante cuando la confrontamos con la realidad. Parece poco serio – hasta estúpido – sostener que los seres humanos son racionales: basta observar alrededor de uno para poner seriamente en tela de juicio esta hipótesis de trabajo. Como se ha dicho acertadamente, “las críticas más comunes y potentes de law and economics son las que apuntan que los modelos son indefendiblemente irreales o insuficientemente científicos”117. El propio Coase ha criticado en diversas oportunidades la falta de realismo del análisis de sus colegas, al punto que su artículo “El Problema del Costo Social” puede ser visto como un llamado hecho por Coase a los economistas para que inserten en sus modelos a los costos de transacción, y logren así conclusiones más acorde con la realidad.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Otra crítica relativa al enfoque de la elección racional ha sido formulada por el economista Amartya Sen, quien en varias oportunidades ha descalificado al enfoque de la elección racional como desacertado. Como ha dicho este célebre economista: “los libros de economía están llenos de sujetos racionales, pero el mundo es otra cosa”. Asimismo, mediante el famoso ejemplo del “dilema del prisionero”, Sen demostró que el interés personal de un sujeto racional maximizador de utilidades no necesariamente implica que se logrará la maximización de las utilidades; en el caso del dilema del prisionero, la solución más eficiente necesita de los dos sujetos118. El esquema de la elección racional es, en este sentido, incompleto.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Desde la filosofía de la ciencia, Bunge ha lanzado furibundas críticas contra la economía neoclásica. Luego de criticar y refutar uno a uno los supuestos de la ciencia económica – la elección racional, la maximización de utilidades, el equilibrio en los mercados, etc. – llega a la conclusión que “los supuestos básicos de la microeconomía neoclásica son tan irrealistas que ni ellos ni sus consecuencias lógicas pueden explicar los rasgos fundamentales de una economía moderna”. Bunge propone una profunda reforma en la metodología económica: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microeconomía neoclásica – el parangón de la teoría de la elección racional – no es ni científica ni muy útil. ¿Qué debe hacer entonces el economista neoclásico después de haber fracasado reiteradamente en la conquista de su propio territorio? Solo tiene dos opciones una ardua y la otra fácil. La primera es repensar los principio y tratar de dar con una teoría radicalmente nueva. La salida fácil es emigrar a una tierra cuyos nativos sientan un temor reverencial ante lo que pasa por rigor matemático como la sociología o la política. Proponemos (en general) una reorientación filosófica en la Economía”119.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críticas ideológicas contra Law &amp; Economics han venido generalmente desde la izquierda: es que tanto el movimiento como muchos de sus cultores tienen un carácter sesgadamente conservador y de derecha. Los ataques formulados por el movimiento Critical Legal Studies120 y otros exponentes de la izquierda o centroizquierda de la cultura jurídica norteamericana, tales como Duncan Kennedy, Mark Kelman, Morton Horwitz y otros, se han dirigido justamente a demostrar que detrás del discurso neutral y objetivo del análisis económico del derecho se esconde una defensa de las clases empresariales, del status quo y de políticas altamente conservadoras. En efecto, para estos autores, lo que sería el beneficio principal del análisis económico del derecho – su objetividad y cientifismo – es justamente lo contrario, su debilidad. La idea central de esta postura es bastante sencilla: law and economics, generalmente presentado como un ejercicio técnico, objetivo y políticamente neutro, es en realidad un proyecto intensamente político con argumentos altamente ideológicos. El sueño de la eficiencia técnica sería más bien una pesadilla, ya que es falso y se adhiere a un tecnocratismo céntrico y favorable al libremercado libertario121. La obra de Duncan Kennedy ha sido importante en este sentido: en varias oportunidades ha atacado la idea de la eficiencia como criterio normativo, al teorema de Coase, etc122. Pero parecería ser que Kennedy, más que el abandono del enfoque económico, propugna un giro ideológico: un giro hacia la izquierda.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Igualmente se han formulado fuertes críticas contra Law &amp; Economics desde un enfoque que viene de la teoría del derecho y que podemos llamar crítica jurídico-filosófica. El punto de partida de esta postura es bastante simple: los objetivos de eficiencia o maximización de riqueza son irrelevantes y muchas veces incompatibles con la justicia correctiva, que es la esencia y el único objetivo correcto del derecho privado123. Paladín de esta postura ha sido el jurista Ernest Weinrib, que en su obra “La Idea del Derecho Privado”, ha recogido ideas kantianas a fin de formular una noción del derecho privado ajena a grandes obras de reingeniería social. El mismo ha sido seguido por varios juristas de talla, notablemente, el español Pantaleón Prieto. Este último autor crítica mordazmente el análisis económico de la responsabilidad, y en especial la función preventiva o disuasoria – disminuir el número de accidentes – señala sin ambages que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justicia conmutativa, la simple decencia entre semejantes, no aparece ni en las abscisas ni en las ordenadas de ninguno de los complicados gráficos – demasiados tan inútiles – con que no abruman los analistas económicos del Derecho. Por eso pueden explicar tan mal la protección características de los derechos subjetivos. Y por eso, no pueden explicar en absoluto la generalidad de los ordenamientos jurídicos civilizados. O se dedican a otra cosa: a avanzar, como G. Calabresi, ideas pretendidamente económicos para reformas legislativas, como Posner, lo que en verdad nos explican es la lógica económica de los delitos de imprudencia124.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Una de las críticas más comunes a Law &amp; Economics es la que llamamos distributiva, y justamente hace hincapié en que la respuesta del movimiento a la redistribución de la riqueza ha sido generalmente la indiferencia, el silencio, y </w:t>
            </w:r>
            <w:r w:rsidRPr="001B7F27">
              <w:rPr>
                <w:rFonts w:ascii="Arial" w:eastAsia="Times New Roman" w:hAnsi="Arial" w:cs="Arial"/>
                <w:color w:val="003399"/>
                <w:sz w:val="17"/>
                <w:szCs w:val="17"/>
                <w:lang w:eastAsia="es-AR"/>
              </w:rPr>
              <w:lastRenderedPageBreak/>
              <w:t xml:space="preserve">en ojo de algunos, equivocada. Desde esta perspectiva crítica, los analistas económicos del derecho dan por sentado el tema de la distribución de riqueza, excluyéndolo expresamente de su estudio; el concepto de eficiencia presupone la distribución inicial de los recursos. Como ha dicho algún autor, el Teorema de Coase nos muestra que la asignación inicial de los derechos no importa, pero no dice nada de la distribución inicial de los mismos, quién tiene que. Desde este punto de vista, la asignación inicial de los derechos, ¡si importa! En este sentido, se ha explicado que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Cuando analizan la eficiencia de tal o cual figura del derecho, los analistas económicos del derecho generalmente presuponen la actual distribución de riqueza y tratan a las consecuencias distributivas como irrelevantes. Pero como se ha dicho hasta el cansancio, la mayoría de las personas están menos interesadas en la suma total de la riqueza de la sociedad, que con la distribución efectiva de la misma125.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crítica suele relacionarse muchas veces con la ideológica, debido a que la falta de importancia que le asigna el análisis económico del derecho a la distribución – o más importante, a la redistribución – de la riqueza se debe a su carácter conservador y su agenda política que respondería a designios de derecha126.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último, pueden mencionarse a un grupo de críticas que adoptan el enfoque interno. Estas críticas parten de una aceptación genérica de los postulados de Law &amp; Economics, y formulan desavenencias “desde adentro”, por así decirlo127. Dentro de esta postura puede citarse el trabajo de Hanson y Hart, quiénes señalan que el análisis económico depende necesariamente de la conjugación de los supuestos en los que se funda, y el cambio de uno desbarata muchas veces el resultado ideado. Para demostrar esto, estudiaron profusamente el caso U.S. vs. Carroll Towing (recuérdese: el caso fundamental del análisis económico del tort law) y demostraron, en forma sorprendente, que la solución que se llegó en este caso era verdaderamente ineficiente!128. Desde otra perspectiva, el Profesor de la Universidad de Yale Jules Coleman ha dedicado mucha atención al Law &amp; Economics y ha sostenido que el análisis económico del derecho por sí no puede jamás explicar el derecho de la responsabilidad civil, por lo que propone una teoría mixta, que llama gráficamente, mercado y valores (markets and morals)129. Finalmente, algunos analistas económicos han criticada acerbadamente aspectos del Law &amp; Economics, como por ejemplo David Friedman, quien destaca que la “teoría de los juegos” nada tiene que aportar al estudio del derecho130, o Eric Posner, quién ha sostenido que el análisis económico del derecho contractual hecho hasta la fecha “no pega en el blanco”131,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¿entonces?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 afirmado hasta aquí es suficiente para responder - aunque sea sólo parcialmente - a la pregunta que hemos formulado en el título de este trabajo. Pero también deja una sensación agridulce en nuestro paladar jurídico. Si, el análisis económico del derecho tiene muchas virtudes y bondades, pero, por otra parte, parece insuficiente en algunos casos y hasta tornarse insoportable en otros. Entonces, ¿cuál es la evaluación general del movimiento?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contestar a esta pregunta, nada mejor que efectuar un análisis costo-beneficio. Los beneficios de Law &amp; Economics son muchos. En primer lugar, existen áreas del derecho que responden a factores exclusivamente económicos, como el derecho de la competencia y las leyes antimonopolio. Asimismo, todos los días sufrimos los efectos de leyes y fallos judiciales perniciosos que seguramente no serían dictados por nuestros legisladores y jueces si se hubiese hecho un análisis costo-beneficio132. El análisis económico del derecho es igualmente un potente tónico contra el idealismo y dogmatismo extremo que muchas veces pululan en nuestra doctrina tradicional, tal cual lo hemos afirmado a lo largo de este trabajo y citando algunos casos concretos. Finalmente, por más que rechacemos a la eficiencia como criterio normativo del ordenamiento jurídico, en cualquier caso nos interesaría saber cuáles son los costos que impone una determinada solución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Law &amp; Economics también impone costos a la tarea de analizar el derecho. En general, la adopción in totum y sin matizaciones de postulados como la eficiencia, la maximización de riqueza o la elección racional puede terminar empobreciendo el análisis y conduciendo a resultados muchas veces indeseables. Muchos de los supuestos epistemológicos de la economía son realmente débiles y deben ser tomados bajo beneficio de inventario. Por otra parte, la adopción de un esquema consecuencialista a ultranza a la larga resulta repugnante desde el punto de vista moral, razón por la cual algunos exponentes del movimiento han insistido que el principio de eficiencia debe ser solo uno más a la hora de definir políticas públicas. Finalmente, y a pesar de los intentos en contrario, el análisis económico del derecho continua sin dar respuestas definitivas a dos cuestiones (y problemas) esenciales del derecho desde la perspectiva de la sociedad: la cuestión de la distribución de la riqueza y la fijación de parámetros absolutos para la solución de casos judiciales.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ello, un apego íntegro al esquema economicista parece ser desaconsejable. Pero, la adopción de las técnicas y conocimientos de Law &amp; Economics en forma moderada, es decir, como una herramienta alternativa más a la par de otras es más beneficiosa que costosa, y por ende, justificable desde un análisis costo-beneficio133. Y, sin dudas, ayudará a continuar el inacabable camino hacia una comprensión más adecuada e integral de la realidad.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Nota: la bibliografía de Law &amp; Economics es vasta y sencillamente inacabable. Sin embargo, ella es de muy difícil acceso en nuestro medio, lo cual se ve agravado por el hecho que muy pocas están traducidas al español, salvo los manuales de Posner, Cooter &amp; Ulen y las monografías de Shavell y Calabresi. Esto sin dudas dificultará la difusión de las ideas del movimiento en nuestro país. Sin embargo, esta deficiencia puede paliarse por el gran material que puede encontrarse en la red internet, que contiene un número interminable de fuentes bibliográficas y hasta libros enteros, como el caso de la introducción de David Friedman “Law’s Order”, que está publicado íntegramente en la dirección http que se cita más abajo. Asimismo, son de especial utilidad la Enciclopedia Internacional de Law and Economics, que contiene una serie de artículos de primer nivel cubriendo todos los aspectos del movimiento, http://encyclo.findlaw.com. Un sitio en español de especial utilidad y con muchas referencias es: www.indret.com. A continuación citamos algunos trabajos utilizados en esta obra: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Obras introductorias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Cooter, Richard, y Ulen, Thomas. Derecho y Economia. Fondo de Cultura Economica. 1998.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Polinsky, A. Mitchell. An Introduction to Law and Economics. Little Brown and Company. Segunda Edición, 1989.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Friedman, David. Law’s Order: What Economics has to do with Law and why it matters. Versión integramente contenida en Internet, sitio: www.daviddfriedman.com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Posner, Richard. Economic Analysis of Law. Little Brown and Company. 4ta. Edición de 1992.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Obras económicas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Becker, Gary. The Economic Approach to Human Behavior. Chicago University Press. Año 1976.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___________, The Economics of Life. Mc Graw Hill. Año 1997.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Coase, Ronald. The Firm, The Law and The Market. Chicago University Press. Año 1988.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Friedmann, Milton. Essays in Positive Economics. Chicago University Press. Año 1953.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Samuelson, Paul, y Nordhaus, William. Economics. Mc Graw Hill. Año 1986.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Otras obras utilizadas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Bix, Brian. Jurisprudence: Theory and Context. Sweet and Maxwell. Año 1999.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Bunge, Mario. Las Ciencias Sociales en Discusión. Editorial Sudamericana. Año 1999.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Cooter, Robert. The Strategic Constitution. Princeton University Press. Año 2001.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Craswell, Richard, y Schwartz, Alan. Foundations of Contract Law. Oxford University Press. 1994.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Duxbury, Neil. Patterns of American Jurisprudence. Oxford University Press. Año 1995.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Dworkin, Ronald. Law’s Empire. Especialmente el Capítulo VIII, Common Law. Harvard University Press. Año 1986.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Kaplow, Louis, y Shavell, Steven. Fairness vs. Welfare. Harvard University Press. Año 2002.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Mattei, Ugo. Comparative Law and Economics. Michigan University Press. Año 1998.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Posner, Eric, y Adler, Mathew (Editores). Cost-Benefit Analysis. Chicago University Press. Año 2000.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Posner, Richard. The Problems of Jurisprudence. Harvard University Press. Año 1990.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Posner, Richard. Frontiers of Legal Theory. Harvard University Press. Año 2001.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Salvador Coderch, Pablo, y Castiñeira, Maria. Prevenir y Castigar. Marcial Pons Editora. Año 1997.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Scheffler, Samuel, editor. Consequentialism and its Critics. Oxford University Press. Año 1988.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Artículos y monografías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Pantaleon Prieto, Fernando. “Como repensar la responsabilidad civil extracontractual”, en Perfiles de la Responsabilidad Civil en el Nuevo Milenio. Editorial Dykinson. Año 2000.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Hanson, Jon, y Hart, Melissa. « Law and Economics », en A Companion to the Philosopy of Law and Legal Theory. Oxford University Press, 1996.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Perry, Stephen. “Tort Law”, en A Companion to the Philosophy of Law and Legal Theory. Oxford University Press. Año 1996.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Shavell, Steven. Economic Analysis of Law. Artículo a ser incluido en la Enciclopedia Internacional de las Ciencias Sociales, y ubicable en internet, www.law.harvard.edu/programs/olin_center.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Friedman, David. Law and Economics. Artículo de la Enciclopedia de Economía y Libertad, y ubicable en internet: www.econlib.org/library/enc/lawandeconomics.html.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Craswell, Richard. Contract law: General Theories, artículo de la International Enciclopedia of Law and Economics, y ubicable en internet: : http://encyclo.findlaw.com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Waldron, Jeremy. Book review: Markets, Morals and the Law, de Jules Coleman. Yale Law Journal, Abril de 1990. 99 Yale LJ 1441.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Salvador Coderch, Pablo. Recensión a Laws Order, What Economics has to do with law and why it matters, de David Friedman, ubicable en internet: www.indret.com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Friedman, David. Review of Economic Analysis of Accident Law, de Steven Shavell, y ubicable en internet: www.daviddfriedman.com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Gomez Pomar, Fernando. Recensión a Richard Posner, Frontiers of Legal Theory, harvard University Press, ubicable en internet: www.indret.com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Salvador Coderch, Pablo. Lecturas Recomendadas: Luis Diez Picazo, Derecho de Daños, ubicable en internet: www.indret.com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Friedman, David. The Swedes Get it Right, artículo publicado en 1991 en homenaje al Nóbel de Coase, ubicable en internet: www.daviddfriedman.com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Salvador Coderch, Pablo. Plain Meaning v. Law and Economics, ubicable en internet: www.indret.com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Weintraub, Roy. Neoclassical Economics, artículo de la Enciclopedia de Economía y Libertad, ubicable en internet: www.econlib.org.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Eastman, Wayne. Critical Legal Studies, artículo de la International Enciclopedia of Law and Economics y ubicable en internet: http://encyclo.findlaw.com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Mackaay, Ejan. Schools: General, artículo de la International Encyclopedia of Law and Economics y ubicable en internet: : http://encyclo.findlaw.com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Schafer, Hans-Bernd. Tort Law: General, artículo de la International Encyclopedia of Law and Economics, y ubicable en internet: : http://encyclo.findlaw.com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Kerkmeester, Heico. Methodology: General, artículo de la International Encyclopedia of Law and Economics, y ubicable en internet: : http://encyclo.findlaw.com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Mackaay, Ejan. History of Law and Economics, artículo de la International Encyclopedia of Law and Economics, y ubicable en internet: : http://encyclo.findlaw.com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Posner, Eric. Economic Analysis of Contract Law After Three Decades: Success or Failure? University of Chicago Law and Economics Program, Working Papers.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0"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4" w:name="4"/>
            <w:bookmarkEnd w:id="4"/>
            <w:r w:rsidRPr="001B7F27">
              <w:rPr>
                <w:rFonts w:ascii="Arial" w:eastAsia="Times New Roman" w:hAnsi="Arial" w:cs="Arial"/>
                <w:b/>
                <w:bCs/>
                <w:color w:val="009933"/>
                <w:sz w:val="20"/>
                <w:szCs w:val="20"/>
                <w:lang w:eastAsia="es-AR"/>
              </w:rPr>
              <w:t>"Contrato de Trabajo a tiempo parcial"</w:t>
            </w:r>
            <w:r w:rsidRPr="001B7F27">
              <w:rPr>
                <w:rFonts w:ascii="Arial" w:eastAsia="Times New Roman" w:hAnsi="Arial" w:cs="Arial"/>
                <w:color w:val="003399"/>
                <w:sz w:val="17"/>
                <w:szCs w:val="17"/>
                <w:lang w:eastAsia="es-AR"/>
              </w:rPr>
              <w:br/>
              <w:t>María Francisca Prette de Villanueva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laboral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1"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 INTRODUCCIÓN El Convenio sobre trabajo a tiempo parcial, sancionado en la última conferencia anual de la OIT, en 1994, señala en su parte declarativa la necesidad de reconocer que en las políticas de empleo se tenga en cuenta la función del trabajo a tiempo parcial como un modo de abrir nuevas posibilidades de empleo, y también la necesidad de asegurar la protección de los trabajadores de esa modalidad en los campos de acceso al empleo, de las condiciones de trabajo y de la seguridad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la OIT, trabajo a tiempo parcial es todo trabajo “efectuado de manera regular y voluntaria durante una duración sensiblemente más corta que la normal”2.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convención citada no ha sido ratificada aún por nuestro país. No obstante, creemos que sí abrirá nuevas fuentes de empleo para mujeres y estudiantes. Al respecto, cabe señalar la experiencia que en ese sentido se recogió en España, con relación a esas personas con necesidad de trabajar y poca disponibilidad de tiempo para hacerlo.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modalidad contractual, donde lo decisivo es la existencia de un tiempo de prestación inferior al normal, configura un importante instrumento de flexibilización en tanto permite a las empresas contratar únicamente la cantidad necesaria de trabajo en el momento necesario, y a los trabajadores, en unos casos, encontrar empleo y, en otros, compatibilizar el trabajo asalariado con otro tipo de actividades extralaborales.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todos los fenómenos sociales, explica ROCARD, el trabajo a tiempo parcial tiene, al menos, dos caras: “mal pagado, mal protegido, sin porvenir reconocido, puede ser signo de marginación profesional; por el contrario, cuando es voluntario y responde a los deseos de los individuos, es el primer paso hacia la conquista del tiempo y de una mayor iniciativa en la gestión del mismo. Para la mujer con niños pequeños, trabajar a tiempo parcial puede ser un símbolo de inferioridad de su condición o, al contrario, la expresión de su liberación. Por último, para el empleador, el recurso al trabajo a tiempo parcial puede ser una forma de explotación de la mano de obra, mientras que correctamente utilizado y negociado con los interesados, permite ajustar los horarios de trabajo a los deseos de los individuos y al volumen de actividad o a los horarios de apertura de las empresas”3.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informe publicado por el Ministerio de Trabajo y Seguridad Social de la nación Argentina, basado en un relevamiento de opiniones de trabajadores y empresarios europeos sobre los motivos de la introducción del trabajo a tiempo parcial, revela que existe paridad de criterios entre ambos sectores, respecto a que la modificación responde tanto a motivos económicos y organizativos de la empresa cuanto a deseos de los trabajadores. La misma encuesta reveló que una mayoría piensa que el trabajo a tiempo parcial mejora la competitividad de la empresa. También se señaló que no se observaban diferencias entre trabajadores a tiempo parcial y trabajadores a tiempo completo en cuanto a productividad, motivación, ausentismo, rotación u organización del trabajo. Empero, DAUBLER no coincide con este pensamiento, puesto que a su criterio “el trabajo durante pocas horas permite una intensificación del mismo. Quien sólo tenga que trabajar dos horas diarias puede producir en ese tiempo más que si hubiese trabajado ocho horas”4.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Resulta interesante señalar que el trabajo a tiempo parcial aparece como involuntario, pues el trabajador lo acepta cuando carece de posibilidades de acceder al tiempo completo. Se dice también que, en general, el trabajo a tiempo parcial se considera adecuado para labores de baja calificación y que quienes lo ejecutan suelen ser discriminados con relación a los trabajadores de tiempo completo en cuestiones tales como el salario y las prestaciones de la seguridad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ANTECEDENTES EN EL DERECHO COMPARADO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ordenamientos comparados regulan el contrato de trabajo a tiempo parcial, con la clara intencionalidad de promover su utilización por oferentes y demandantes de trabajo. Vale decir que las regulaciones, lejos de obstaculizar el trabajo a tiempo parcial, intentan promoverlo definiendo condiciones mínimas y controles que, sin </w:t>
            </w:r>
            <w:r w:rsidRPr="001B7F27">
              <w:rPr>
                <w:rFonts w:ascii="Arial" w:eastAsia="Times New Roman" w:hAnsi="Arial" w:cs="Arial"/>
                <w:color w:val="003399"/>
                <w:sz w:val="17"/>
                <w:szCs w:val="17"/>
                <w:lang w:eastAsia="es-AR"/>
              </w:rPr>
              <w:lastRenderedPageBreak/>
              <w:t>perjuicio de la necesaria flexibilidad, impidan su utilización abusiva. Dentro de este orden de ideas sobresalen las garantías a la “igualdad de trato” con el resto de los trabajadores a jornada completa, que alcanzan a las normas de protección contra el despido y a los derechos de representación colectiva.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reformas de este tratamiento flexible ha producido un verdadero auge de la contratación a tiempo parcial, resolviendo temas conflictivos, dando certeza a los usuarios y conectando esta modalidad contractual con las políticas de empleo. “En la mayoría de los países de la OCDE la frecuencia del trabajo a tiempo parcial ha aumentado más rápidamente en los años 80 que a finales de los 70… tendencia esencialmente positiva porque responde tanto a las necesidades del mercado de trabajo como a los deseos de los que entran por primera vez en este mercado, especialmente las mujeres”.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trabajo a tiempo parcial está regulado en España desde 1984, mediante el real decreto 1991. Antes de esa normativa, la ley de contrato de trabajo, de 1964, había admitido este sistema de contratación sobre la base del acuerdo entre partes, imponiendo </w:t>
            </w:r>
            <w:r w:rsidRPr="001B7F27">
              <w:rPr>
                <w:rFonts w:ascii="Arial" w:eastAsia="Times New Roman" w:hAnsi="Arial" w:cs="Arial"/>
                <w:color w:val="003399"/>
                <w:sz w:val="17"/>
                <w:szCs w:val="17"/>
                <w:lang w:eastAsia="es-AR"/>
              </w:rPr>
              <w:sym w:font="Symbol" w:char="F0BE"/>
            </w:r>
            <w:r w:rsidRPr="001B7F27">
              <w:rPr>
                <w:rFonts w:ascii="Arial" w:eastAsia="Times New Roman" w:hAnsi="Arial" w:cs="Arial"/>
                <w:color w:val="003399"/>
                <w:sz w:val="17"/>
                <w:szCs w:val="17"/>
                <w:lang w:eastAsia="es-AR"/>
              </w:rPr>
              <w:t>igual que el caso argentino</w:t>
            </w:r>
            <w:r w:rsidRPr="001B7F27">
              <w:rPr>
                <w:rFonts w:ascii="Arial" w:eastAsia="Times New Roman" w:hAnsi="Arial" w:cs="Arial"/>
                <w:color w:val="003399"/>
                <w:sz w:val="17"/>
                <w:szCs w:val="17"/>
                <w:lang w:eastAsia="es-AR"/>
              </w:rPr>
              <w:sym w:font="Symbol" w:char="F0BE"/>
            </w:r>
            <w:r w:rsidRPr="001B7F27">
              <w:rPr>
                <w:rFonts w:ascii="Arial" w:eastAsia="Times New Roman" w:hAnsi="Arial" w:cs="Arial"/>
                <w:color w:val="003399"/>
                <w:sz w:val="17"/>
                <w:szCs w:val="17"/>
                <w:lang w:eastAsia="es-AR"/>
              </w:rPr>
              <w:t xml:space="preserve"> que no obstante el achicamiento de la jornada, las cotizaciones a la seguridad social debían registrar igual volumen que si el contrato fuese a tiempo completo. El estatuto de los trabajadores, de 1980, introdujo el trabajo a tiempo parcial, destinado a personas con dificultades de inserción laboral, y por el tiempo que durase la crisis, siempre que se tratara de prestaciones diarias, semanales o mensuales en extensión inferior a los dos tercios de la jornada completa habitual de la actividad. La normativa vigente hoy mantiene ese acotamiento, pero sin limitar bajo ningún aspecto el ámbito de validez personal de los trabajadores comprendidos5.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legislación francesa no ha regulado específicamente el caso del trabajo a tiempo parcial, y limitándose a precisar cómo se determina el cálculo salarial del trabajador que presta servicios en esa forma, de modo que el sistema queda incorporado de manera indirecta6.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Alemania, el 15% de los asalariados presta servicios bajo la forma del trabajo a tiempo parcial, con una enorme mayoría de mujeres (nueve de cada diez trabajadores). La regulación de este sistema de contratación indica que quien trabaje menos de quince horas semanales no está obligado a afiliarse a la seguridad social, siempre que sus ingresos sean, además, inferiores a determinados límites. Como bien apunta DAUBLER, esta situación de no obligatoriedad respecto de la seguridad social, aparece como un buen incentivo para que los empleadores contraten trabajadores a tiempo parcial, a un costo muy reducido. A la vez, connota un riesgo muy severo para los dependientes, que ven esfumarse sus coberturas en caso de enfermedad y vejez.7 La normativa germana no prescribe ninguna formalidad diferente para esta clase de contrato, pero impone la prohibición de discriminar con relación al vínculo de tiempo completo.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la Argentina la situación del trabajo a tiempo parcial no había merecido tratamiento legislativo en modo expreso hasta la ley 24.465 del año 1995. Pensamos que ello ha sido consecuencia de lo que afirma DAUBLER,8 en el sentido de que los trabajadores que acceden al contrato de tiempo parcial lo hacen por una razón de necesidad, como es la urgencia de trabajar, y por un imperativo de la realidad, que es el creciente desempleo. Argentina no padeció grandes tasas de desocupación hasta 1990, ni tampoco se vio precisada, hasta esa misma época, de acudir a nuevas formas de organizar el trabajo en jornadas de tiempo parcial. A pesar de no estar regulado el contrato a tiempo parcial, al no estar prohibido podía considerarse una modalidad legal.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necesidad de implementar esta modalidad, aparece con fuerza en esta última década, y su efectividad legislativa se ha demorado un tanto. Sobre todo porque se establecía que cualquiera fuera el tiempo de prestación, el empleador estaba obligado a depositar aportes y contribuciones como si el salario abonado fuera el de la categoría profesional de tiempo completo, salvo que alguna norma legal o convencional lo exceptuara de esa imposición. Este precepto operaba como un contrapeso a la tentación de emplear mano de obra en jornada reducida, habida cuenta de la ausencia de regulaciones y del alto costo de la seguridad social, con relación al rendimiento obtenido.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CONCEPTO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ya dijimos, el contrato de trabajo a tiempo parcial ingresa en el derecho laboral argentino con la ley 24.465, que conceptualiza el trabajo a tiempo parcial al comienzo del inc. 1</w:t>
            </w:r>
            <w:r w:rsidRPr="001B7F27">
              <w:rPr>
                <w:rFonts w:ascii="Arial" w:eastAsia="Times New Roman" w:hAnsi="Arial" w:cs="Arial"/>
                <w:color w:val="003399"/>
                <w:sz w:val="17"/>
                <w:szCs w:val="17"/>
                <w:lang w:eastAsia="es-AR"/>
              </w:rPr>
              <w:sym w:font="Symbol" w:char="F0B0"/>
            </w:r>
            <w:r w:rsidRPr="001B7F27">
              <w:rPr>
                <w:rFonts w:ascii="Arial" w:eastAsia="Times New Roman" w:hAnsi="Arial" w:cs="Arial"/>
                <w:color w:val="003399"/>
                <w:sz w:val="17"/>
                <w:szCs w:val="17"/>
                <w:lang w:eastAsia="es-AR"/>
              </w:rPr>
              <w:t>: “El contrato de trabajo a tiempo parcial es aquel en virtud del cual el trabajador se obliga a prestar servicios durante un determinado número de horas al día o a la semana o al mes, inferiores a las dos terceras partes de la jornada habitual de la actividad”.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Armando Caro Figueroa lo define así: “Se entiende por trabajo a tiempo parcial, o part-time, aquel que se presta voluntariamente durante un determinado número de horas a la semana, o de días a la semana, al mes o al año, en todo caso inferiores a la jornada habitual respectiva”9.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advierte que su característica es la prestación de servicios durante un lapso inferior al de la jornada habitual. Hasta aquí parecería que se ha tomado la idea del Convenio de la OIT, sobre trabajo a tiempo parcial, de 1994, cuyo art. 1</w:t>
            </w:r>
            <w:r w:rsidRPr="001B7F27">
              <w:rPr>
                <w:rFonts w:ascii="Arial" w:eastAsia="Times New Roman" w:hAnsi="Arial" w:cs="Arial"/>
                <w:color w:val="003399"/>
                <w:sz w:val="17"/>
                <w:szCs w:val="17"/>
                <w:lang w:eastAsia="es-AR"/>
              </w:rPr>
              <w:sym w:font="Symbol" w:char="F0B0"/>
            </w:r>
            <w:r w:rsidRPr="001B7F27">
              <w:rPr>
                <w:rFonts w:ascii="Arial" w:eastAsia="Times New Roman" w:hAnsi="Arial" w:cs="Arial"/>
                <w:color w:val="003399"/>
                <w:sz w:val="17"/>
                <w:szCs w:val="17"/>
                <w:lang w:eastAsia="es-AR"/>
              </w:rPr>
              <w:t xml:space="preserve"> dice: “La expresión trabajador a tiempo parcial designa a todo trabajador asalariado cuya actividad laboral tiene una duración normal inferior a la de los trabajadores a tiempo completo en situación comparable”.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Empero, la ley argentina se aparta de la norma internacional para abrevar en la legislación española, cuyo límite copia, estableciéndolo en los dos tercios de la jornada de la actividad. De esta forma una jornada reducida a seis horas diarias, por ejemplo, queda excluida de esta regulación, en tanto representa tres cuartas partes y no las dos terceras de la ordinaria diurna consagrada en la ley 11.544. Esta situación plantea una cuestión, aún no resuelta, que crea no pocos problemas a las necesidades actuales de dar un tratamiento elástico a la organización de la jornada.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Convenio de la OIT recurrió a otro modo de definir el parámetro de cotejo entre el tiempo parcial y el tiempo completo. En vez de referirse a la actividad menciona a “los trabajadores a tiempo completo, en situación comparable”, y a éstos como aquellos que tengan el mismo tipo de relación laboral, efectúen o ejerzan un tipo de trabajo o de profesión idéntico o similar y además estén empleados en el mismo establecimiento o en la misma empresa o en la misma actividad. Éste contiene incluso otro señalamiento importante en su art. 1</w:t>
            </w:r>
            <w:r w:rsidRPr="001B7F27">
              <w:rPr>
                <w:rFonts w:ascii="Arial" w:eastAsia="Times New Roman" w:hAnsi="Arial" w:cs="Arial"/>
                <w:color w:val="003399"/>
                <w:sz w:val="17"/>
                <w:szCs w:val="17"/>
                <w:lang w:eastAsia="es-AR"/>
              </w:rPr>
              <w:sym w:font="Symbol" w:char="F0B0"/>
            </w:r>
            <w:r w:rsidRPr="001B7F27">
              <w:rPr>
                <w:rFonts w:ascii="Arial" w:eastAsia="Times New Roman" w:hAnsi="Arial" w:cs="Arial"/>
                <w:color w:val="003399"/>
                <w:sz w:val="17"/>
                <w:szCs w:val="17"/>
                <w:lang w:eastAsia="es-AR"/>
              </w:rPr>
              <w:t>, al considerar que la reducción horaria colectiva y temporal por motivos económicos, tecnológicos o estructurales, no genera un contrato de trabajo a tiempo parcial.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concluir la conceptualización de esta figura debemos remarcar que no se trata de la introducción de un nuevo contrato, sino de una modalidad más del contrato genérico delineado en la ley de contrato de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SUJETOS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Todos los trabajadores pueden ser sujetos del trabajo a tiempo parcial.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DERECHOS DE LOS TRABAJADORES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contrato de trabajo a tiempo parcial consagra a favor del trabajador los mismos derechos que en general otorga a los demás. Nos referimos específicamente a la no discriminación por motivos de sexo, raza, nacionalidad, religión, política, gremiales o etarias.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ley española regulatoria del trabajo a tiempo parcial ha sido más explícita, puesto que expresamente ha fijado que los trabajadores de esta categoría gozarán de los mismos derechos que la ley o el convenio aplicable consagren a favor de los trabajadores de tiempo completo. Con mayor enjundia todavía, la norma española puso el acento en ratificar que los derechos sindicales también son los mismos.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su parte, el art. 4</w:t>
            </w:r>
            <w:r w:rsidRPr="001B7F27">
              <w:rPr>
                <w:rFonts w:ascii="Arial" w:eastAsia="Times New Roman" w:hAnsi="Arial" w:cs="Arial"/>
                <w:color w:val="003399"/>
                <w:sz w:val="17"/>
                <w:szCs w:val="17"/>
                <w:lang w:eastAsia="es-AR"/>
              </w:rPr>
              <w:sym w:font="Symbol" w:char="F0B0"/>
            </w:r>
            <w:r w:rsidRPr="001B7F27">
              <w:rPr>
                <w:rFonts w:ascii="Arial" w:eastAsia="Times New Roman" w:hAnsi="Arial" w:cs="Arial"/>
                <w:color w:val="003399"/>
                <w:sz w:val="17"/>
                <w:szCs w:val="17"/>
                <w:lang w:eastAsia="es-AR"/>
              </w:rPr>
              <w:t xml:space="preserve"> del Convenio sobre trabajo a tiempo parcial de la OIT estableció que los trabajadores comprendidos deben gozar de la misma protección que los de tiempo completo en cuanto a sindicación, negociación colectiva, representación sindical, seguridad y salud en el trabajo y también en lo relativo a la discriminación por motivos de sexo, religión,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misma senda transita la legislación alemana, que prohíbe al empleador conferir un trato diferente al trabajador a tiempo completo respecto a aquel que presta servicios en la jornada reducida. Esto comprende en modo expreso la discriminación por razones de sexo (situación importante en Alemania por lo ya dicho en cuanto al número de mujeres que utilizan el sistema de tiempo parcial) y de representación del personal.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FORMA DEL CONTRATO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forma de celebración y perfeccionamiento del contrato de trabajo a tiempo parcial es una de las cuestiones sobre las que más dudas ha suscitado.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principio general de los contratos de trabajo, aun cuando las modernas tendencias legislativas indiquen una inclinación a su reforma, sigue siendo el de la indeterminación del plazo. Todas las formas que no se adecuen a este concepto central, son por lo menos atípicas o excepcionales. Del mismo modo, la jornada ordinaria diurna admite, en nuestro país, una limitación situada en las ocho horas diarias o cuarenta y ocho semanales, como principio general.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Sobre la base de la indeterminación del plazo y de la nota de ordinariedad de la jornada de ocho o de cuarenta y ocho horas, diarias o semanales, cualquier otra forma expresa una situación distinta, atípica o extraordinaria.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Consecuentemente aquello que se exhibe como no común, requiere entonces de una prueba que haga creíble ese carácter. Es por ello que en nuestro concepto el contrato de trabajo a tiempo parcial, debe realizarse por escrito, con mención expresa de la cantidad de tiempo por el cual el trabajador es contratado. Pero esto no basta, puesto que el texto escrito del nexo vinculante debe corresponderse con lo que se anote en la planilla de horarios y descansos, pues de ello ha de depender la caracterización del vínculo.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La necesidad de la escritura se hace aún más importante si tomamos en cuenta el art. 1</w:t>
            </w:r>
            <w:r w:rsidRPr="001B7F27">
              <w:rPr>
                <w:rFonts w:ascii="Arial" w:eastAsia="Times New Roman" w:hAnsi="Arial" w:cs="Arial"/>
                <w:color w:val="003399"/>
                <w:sz w:val="17"/>
                <w:szCs w:val="17"/>
                <w:lang w:eastAsia="es-AR"/>
              </w:rPr>
              <w:sym w:font="Symbol" w:char="F0B0"/>
            </w:r>
            <w:r w:rsidRPr="001B7F27">
              <w:rPr>
                <w:rFonts w:ascii="Arial" w:eastAsia="Times New Roman" w:hAnsi="Arial" w:cs="Arial"/>
                <w:color w:val="003399"/>
                <w:sz w:val="17"/>
                <w:szCs w:val="17"/>
                <w:lang w:eastAsia="es-AR"/>
              </w:rPr>
              <w:t xml:space="preserve"> del Convenio de la OIT, que impide caracterizar como trabajo a tiempo parcial a los casos de reducción de jornada por causas tecnológicas, económicas o estructurales. En un contorno de crisis donde se constata la habitualidad de estas situaciones de reducción, y para evitar las confusiones, la escritura es necesaria tanto como, insistimos, su correspondencia con la documentación laboral.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española indica que el contrato de trabajo a tiempo parcial será siempre formalizado por escrito y conforme a un modelo oficial que el real decreto 1991/84 trae como anexo. La falta de forma escrita determinará iuris tantum que el contrato se repute por el tiempo indefinido10.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más allá del criterio interpretativo que señalamos, es conveniente para las partes, por razones de seguridad jurídica, recurrir a la forma escritural para la formalización de este tipo de contrato.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Antes de concluir con el examen de las formas del contrato a tiempo parcial, queremos señalar que su celebración conlleva la obligatoriedad del registro.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EL SALARIO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remuneración no podrá ser inferior a la proporcional que le corresponda a un trabajador a tiempo completo, establecida por ley o convenio colectivo, de la misma categoría o puesto de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tal modo que debe tomarse la posición profesional del trabajador de tiempo parcial y, comparándola con la del trabajador a tiempo completo, determinarse cuál es la retribución de aquél en términos proporcionales. Pero está claro que éste es un mínimo que no puede traspasarse, o sea que la ley admite que hacia arriba no existe ningún tipo de limitación salarial.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5</w:t>
            </w:r>
            <w:r w:rsidRPr="001B7F27">
              <w:rPr>
                <w:rFonts w:ascii="Arial" w:eastAsia="Times New Roman" w:hAnsi="Arial" w:cs="Arial"/>
                <w:color w:val="003399"/>
                <w:sz w:val="17"/>
                <w:szCs w:val="17"/>
                <w:lang w:eastAsia="es-AR"/>
              </w:rPr>
              <w:sym w:font="Symbol" w:char="F0B0"/>
            </w:r>
            <w:r w:rsidRPr="001B7F27">
              <w:rPr>
                <w:rFonts w:ascii="Arial" w:eastAsia="Times New Roman" w:hAnsi="Arial" w:cs="Arial"/>
                <w:color w:val="003399"/>
                <w:sz w:val="17"/>
                <w:szCs w:val="17"/>
                <w:lang w:eastAsia="es-AR"/>
              </w:rPr>
              <w:t xml:space="preserve"> del Convenio de la OIT impone a los países miembros que lo ratifiquen, la adopción de medidas para que el salario del trabajador a tiempo parcial, calculado sobre una base horaria, por rendimiento o por pieza, no sea inferior al salario del trabajador a tiempo completo en una situación comparable. Esta norma aparece como más completa, pues connota no solamente la medición temporal, sino también la forma de cálculo generada por el trabajo medido por unidad de resultado. La doctrina y jurisprudencia canadienses, por vía interpretativa derivada del análisis del art. 19 de la Carta de los Derechos y Libertades de las Personas, han concluido en que el trabajo a tiempo parcial entraña normalmente una reducción proporcional del salario del trabajo a tiempo completo11.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mismo sentido se ha determinado el art. 2.2. del real decreto que regula el contrato a tiempo parcial en España, añadiendo una nota que no encontramos en los otros precedentes, pues indica que la proporción debe considerar también la antigüedad del trabajador. El Tribunal Federal del Trabajo de Alemania, por su parte, ha interpretado que una reducción de la proporción del salario de tiempo completo, en perjuicio del trabajador a tiempo parcial, es contraria a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LA JORNADA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tópico más dificultosamente legislado en la normativa argentina es, sin lugar a dudas, el de la jornada. Ello porque la disposición legal define como trabajo a tiempo parcial a aquel que representa una jornada inferior a las dos terceras partes de la jornada habitual de la actividad.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primera cuestión a determinar es qué significa la mención de habitual. La nota de habitual que se menciona está haciendo alusión al tiempo en que, por imposición normativa o por costumbre, se trabaja cotidianamente. La mención a la habitualidad agrega un nuevo elemento, como es la costumbre, con lo cual se alude a ámbitos muy reducidos, tales como una región, una zona o aun una empresa.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consecuencia, la interpretación de esta situación no podrá ser de ningún modo estandarizada en una regulación legal, menos todavía en una interpretación que pretenda desplegar efectos para todos los eventuales sujetos. Es más aceptable que lo sea en un convenio colectivo, que si es de actividad o rama, deberá aun tener la suficiente elasticidad para no dejar fuera del sistema a situaciones que comportan verdaderos contratos de tiempo parcial.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Convenio de la OIT, dictado en 1994, aparece como más omnicomprensivo de las situaciones de reducción de jornada. La norma internacional no fija límite, pues se constriñe a señalar que se trata de una duración inferior a la normal en situación comparable.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trata del límite mínimo, al que la entidad supranacional alude sin fijarlo, pero reclamando de sus países miembros que sea tan bajo como fuere posible para evitar excluir un porcentaje indebidamente elevado de trabajadores a tiempo parcial. Lo que la OIT ha escrito es expresión de una idea correcta, pues es aceptable un límite mínimo que excluya la posibilidad de incorporar a la regulación prestaciones tan breves que no merecen ser ingresadas al ámbito </w:t>
            </w:r>
            <w:r w:rsidRPr="001B7F27">
              <w:rPr>
                <w:rFonts w:ascii="Arial" w:eastAsia="Times New Roman" w:hAnsi="Arial" w:cs="Arial"/>
                <w:color w:val="003399"/>
                <w:sz w:val="17"/>
                <w:szCs w:val="17"/>
                <w:lang w:eastAsia="es-AR"/>
              </w:rPr>
              <w:lastRenderedPageBreak/>
              <w:t>del derecho del trabajo, so pena de regular formas desde antiguo rechazadas por el principio protectorio por su inestabilidad, tales como la “changa” o poner a la Seguridad Social en dificultades de financiamiento de prestaciones.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Convenio de la OIT, en el 1</w:t>
            </w:r>
            <w:r w:rsidRPr="001B7F27">
              <w:rPr>
                <w:rFonts w:ascii="Arial" w:eastAsia="Times New Roman" w:hAnsi="Arial" w:cs="Arial"/>
                <w:color w:val="003399"/>
                <w:sz w:val="17"/>
                <w:szCs w:val="17"/>
                <w:lang w:eastAsia="es-AR"/>
              </w:rPr>
              <w:sym w:font="Symbol" w:char="F0B0"/>
            </w:r>
            <w:r w:rsidRPr="001B7F27">
              <w:rPr>
                <w:rFonts w:ascii="Arial" w:eastAsia="Times New Roman" w:hAnsi="Arial" w:cs="Arial"/>
                <w:color w:val="003399"/>
                <w:sz w:val="17"/>
                <w:szCs w:val="17"/>
                <w:lang w:eastAsia="es-AR"/>
              </w:rPr>
              <w:t>, inc. b, establece que el cálculo de la duración de la prestación puede hacerse por semana o computando un promedio durante un periodo de empleo determinado.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bien debemos admitir que la falta de mención del día o mes en el Convenio de la OIT, es también una omisión reprochable, creemos que se debe recurrir al promedio. Esto es así, pues la realidad está revelando que existen convenios colectivos de trabajo que están incorporando mecanismos de medición de la jornada limitada en promedios de alcance superior al del mes, situándolos en el año. Podrían establecerse contratos de trabajo de tiempo parcial basados en una determinación horaria, que surja de un promedio anual?. Para el caso del convenio colectivo de trabajo que fija una jornada anual de 2128 horas, podría, del análisis del texto normativo, colegirse que una jornada de 1418 horas al año representa una forma de contrato de trabajo a tiempo parcial?.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respuesta no puede ser sino positiva, por dos razones: 1) si el contrato de tiempo parcial está inserto en el convenio colectivo de trabajo, nada podría restarle plena validez, por cuanto sería un modo consensuado por los actores sociales de incorporación al sistema legal que estamos analizando, y 2) por la aplicación del aforismo romano según el cual donde cabe lo más cabe lo menos. Debemos admitir que si puede haber una contraria, que es lo más que se puede reducir, nada impediría que, siguiendo la misma proporción, se formalice una limitación de menor contracción, como es aquella superior a un mes.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Hasta aquí hemos hecho un análisis que sólo ha tomado en cuenta las horas, aun en la mención al promedio anual. Quizá sea el más gráfico para nuestro examen. Pero debemos aludir a la semana o al mes.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Comenzando por la semana cabe decir que no es dable tomar como referencia el límite de 48 hs. Lo correcto, por ser lo habitual, es referirse a lo que se trabaje por semana según la planilla de horarios y descansos de cada empresa. Así, por ejemplo, en Córdoba la industria automotriz trabaja 8 hs. y 48 m de lunes a viernes, lo que equivale a 44 hs. por semana. En consecuencia, las dos terceras partes de la semana en esa industria suman 29 hs., 20 minutos.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orden a la invocación al mes, el tratamiento sería el mismo, comenzando siempre por indagar según las normas estatutarias, convencionales o especificaciones de la planilla de horarios y descansos de la empresa, cuál es el tiempo de prestación habitual. Para la hipótesis del empleado mensualizado, al que se le atribuye normalmente una prestación de 200 hs., las dos terceras partes son 133 hs. con 33 minutos. Para los jornalizados, en cambio, por la variabilidad de las horas laborables del mes, lo lógico sería establecer algún promedio, que sólo sería posible a partir de un convenio colectivo de trabajo.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HORAS EXTRAORDINARIAS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antecedente español admite las horas extraordinarias, aunque interpone un límite según el cual la cantidad debe ser proporcional a la jornada pactada en relación con el máximo permitido. En Alemania, en cambio, el criterio es otro, pues la jurisprudencia del Tribunal Federal del Trabajo ha señalado que un trabajador que presta servicios en exceso a la jornada de tiempo parcial pactada, sólo tendrá derecho a percibir la remuneración propia de las horas extraordinarias cuando rebase el límite de la jornada normal de tiempo completo. DAUBLER afirma que la doctrina critica esta posición, en tanto la prolongación de la jornada pactada siempre supone para el trabajador un sacrificio especial que merece recompensa12.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10- PRESTACIONES DE LA SEGURIDAD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de las cuestiones que más ha preocupado a la doctrina frente a los contratos de trabajo a tiempo parcial, es si la seguridad social debe efectuar prestaciones de idéntico costo, no importa si son trabajadores de tiempo completo o no, habida cuenta que en esta última hipótesis la contribución al sostenimiento del sistema es magra. Alemania resolvió la cuestión excluyendo de la cotización a quienes trabajen menos de 15 hs. semanales.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problema está bien resuelto por el art. 6º del Convenio de 1994 de la OIT, pues se indica que los regímenes de seguridad social deben adaptarse de modo tal que los trabajadores a tiempo parcial gocen de condiciones equivalentes a las de los de tiempo completo en situación comparable, y agrega que esas condiciones podrían ser proporcionales a la duración del tiempo de trabajo, a las cotizaciones o a los ingresos.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inc. 4º, párr. 1º, del art. 92 de la ley argentina dice: “Las prestaciones de la seguridad social se determinarán reglamentariamente teniendo en cuenta el tiempo trabajado, los aportes y las contribuciones efectuadas”, está expresando que el legislador nacional ha tomado en cuenta el contenido de la norma internacional, aun cuando no textualmente. Del modo como se ha diferido a la reglamentación la regulación de las prestaciones, aquélla adquiere </w:t>
            </w:r>
            <w:r w:rsidRPr="001B7F27">
              <w:rPr>
                <w:rFonts w:ascii="Arial" w:eastAsia="Times New Roman" w:hAnsi="Arial" w:cs="Arial"/>
                <w:color w:val="003399"/>
                <w:sz w:val="17"/>
                <w:szCs w:val="17"/>
                <w:lang w:eastAsia="es-AR"/>
              </w:rPr>
              <w:lastRenderedPageBreak/>
              <w:t>una importancia fundamental. El Convenio de la OIT sobre trabajo a tiempo parcial, en su art. 7º, establece un mínimo a tener en cuenta para esa regulación. La OIT estatuye que la equivalencia con los trabajadores de tiempo completo debería abarcar los siguientes casos: a) protección de la maternidad; b) terminación de la relación de trabajo; c) vacaciones y días feriados pagados, y d) licencia por enfermedad. Y se señala, a su vez, que si se trata de prestaciones pecuniarias debe admitirse la proporcionalidad.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11- CONVERSIÓN DEL CONTRATO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argentina establece que: “Los convenios colectivos de trabajo podrán establecer para los trabajadores a tiempo parcial prioridad para ocupar las vacantes a tiempo completo que se produjeren en la empresa”. Quiere decir que no existe conversión del contrato a tiempo parcial en tiempo completo si no es por convenio. Y, a la inversa, la conversión de tiempo completo a tiempo parcial puede hacerse por convenio.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determina que las convenciones colectivas podrán establecer que sean los trabajadores de tiempo parcial ya empleados en la empresa los que, en caso de producirse vacantes, ocupen las plazas de tiempo completo. Pero también es menester señalar que nada impide que las partes del contrato establezcan, cuando lo celebren por escrito, como dijimos que debía ser, que el empleador se obligue a reconocer esta prioridad.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no lo dice, pero nada impide tampoco que los convenios colectivos establezcan que puede fijarse prioridad a los trabajadores de la empresa contratados a tiempo completo, para que pasen a tiempo parcial si se produjeran vacantes de esta naturaleza. Esto es lo que rige en España, según el art. 6º del real decreto que regula el trabajo a tiempo parcial, y de acuerdo con el cual las partes del contrato pueden convenir, si las condiciones previstas en las convenciones colectivas de trabajo lo permiten, la transformación del vínculo en uno de tiempo parcial, según la voluntad del trabajador.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OIT, en su Convenio sobre el trabajo a tiempo parcial de 1994, determinó que en los casos apropiados deberán adoptarse medidas para que el traslado de un trabajo de tiempo completo a otro parcial o viceversa, sea voluntario.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12-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se ha expresado, el contrato de trabajo a tiempo parcial no ha sido objeto de regulación especial por parte del ordenamiento jurídico argentino ni en la legislación laboral paraguaya </w:t>
            </w:r>
            <w:r w:rsidRPr="001B7F27">
              <w:rPr>
                <w:rFonts w:ascii="Arial" w:eastAsia="Times New Roman" w:hAnsi="Arial" w:cs="Arial"/>
                <w:color w:val="003399"/>
                <w:sz w:val="17"/>
                <w:szCs w:val="17"/>
                <w:lang w:eastAsia="es-AR"/>
              </w:rPr>
              <w:sym w:font="Symbol" w:char="F0BE"/>
            </w:r>
            <w:r w:rsidRPr="001B7F27">
              <w:rPr>
                <w:rFonts w:ascii="Arial" w:eastAsia="Times New Roman" w:hAnsi="Arial" w:cs="Arial"/>
                <w:color w:val="003399"/>
                <w:sz w:val="17"/>
                <w:szCs w:val="17"/>
                <w:lang w:eastAsia="es-AR"/>
              </w:rPr>
              <w:t xml:space="preserve"> contrariando a quienes piensan que la ausencia de regulación es siempre un elemento de flexibilidad </w:t>
            </w:r>
            <w:r w:rsidRPr="001B7F27">
              <w:rPr>
                <w:rFonts w:ascii="Arial" w:eastAsia="Times New Roman" w:hAnsi="Arial" w:cs="Arial"/>
                <w:color w:val="003399"/>
                <w:sz w:val="17"/>
                <w:szCs w:val="17"/>
                <w:lang w:eastAsia="es-AR"/>
              </w:rPr>
              <w:sym w:font="Symbol" w:char="F0BE"/>
            </w:r>
            <w:r w:rsidRPr="001B7F27">
              <w:rPr>
                <w:rFonts w:ascii="Arial" w:eastAsia="Times New Roman" w:hAnsi="Arial" w:cs="Arial"/>
                <w:color w:val="003399"/>
                <w:sz w:val="17"/>
                <w:szCs w:val="17"/>
                <w:lang w:eastAsia="es-AR"/>
              </w:rPr>
              <w:t xml:space="preserve"> produciendo consecuencias regidizantes al hacer prácticamente imposible que las partes puedan apelar a esta modalidad a costos equitativos y bajo condiciones estables. Si bien el part-time no está prohibido dentro del sistema argentino de relaciones de trabajo, el hecho de quedar sometido al régimen laboral y de seguridad social ordinarios genera apreciables dificultades, que se amplifican si se tienen en cuenta algunas de las características del mercado de trabajo argentino (baja tasa de actividad, principalmente) que hacen sobremanera atractiva la implementación y promoción de esta figura contractual. Las principales deficiencias del ordenamiento argentino a este respecto son: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la no consagración expresa del principio de “proporcionalidad” para las retribuciones y las prestaciones de seguridad social, 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la prohibición de abonar salarios por debajo del mínimo vital y móvil, aun cuando se trabaje a jornada reducida.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relación de trabajo a tiempo parcial tiene señas de identidad propias que hacen inaplicables varias de las normas que configuran el estatuto ordinario del trabajo a jornada completa; entre otras, las que se refieren al salario, a la jornada y descansos, a la extinción del contrato y a los derechos de participación de los trabajadores. Y demandan normas especiales que regulen la determinación del inicio y fin del tiempo de trabajo (llamada pactada al inicio, o con preaviso), y las condiciones para la conversión de un contrato a jornada completa en otro a tiempo parcial y viceversa.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Del lado de las normas de seguridad social las dificultades son aún mayores, ya que obligan a liquidar los aportes y las contribuciones según los salarios básicos correspondientes a jornada completa, con lo que trabajador y empleador quedan obligados a soportar una sobrecarga contributiva en relación con el salario efectivamente percibido y el tiempo de trabajo realmente prestado; es decir, los costos se encarecen más que proporcionalmente, desalentando la utilización de esta modalidad.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gravedad de esta verdadera discriminación negativa es más que teórica en cuanto perjudica a quienes necesitan (por razones organizativas, estacionales o tecnológicas) o prefieren (por razones familiares, profesionales o culturales) trabajos a tiempo parcial. Aunque no se disponen de instrumentos estadísticos suficientes para evaluar las dimensiones del mercado de trabajo a tiempo parcial, es fácil deducir que la rigidez derivada de su falta de regulación conduce a la existencia de demandas y ofertas insatisfechas.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CARO FIGUEROA, Armando, La flexibilidad laboral, p. 84.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DAUBLER, Wolfgang, Derecho del trabajo, Madrid, Ministerio de Trabajo y Seguridad Social de España, 1994.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GAGNON - LEBEL - VERGE, Droit du travail, p.68.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JAVILLIER, Manual de droit du travail, p. 74.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OIT, informe citado por J.P. JALLADE en Europa a tiempo parcial, Madrid, 1985, p. 266.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ROCARD, Michel, Europa a tiempo parcial, p.15.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SALA FRANCO, Derecho del Trabajo, p. 958.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SAPPIA, Jorge, FONSECA, Hugo, MEDINA MAILHO, Ricardo, PIÑA, María, Empleo y Flexibilidad Laboral, Ed. Astrea, 1996.</w:t>
            </w:r>
          </w:p>
          <w:p w:rsidR="001B7F27" w:rsidRPr="001B7F27" w:rsidRDefault="001B7F27" w:rsidP="001B7F27">
            <w:pPr>
              <w:spacing w:before="100" w:beforeAutospacing="1" w:after="100" w:afterAutospacing="1" w:line="240" w:lineRule="auto"/>
              <w:jc w:val="right"/>
              <w:rPr>
                <w:rFonts w:ascii="Arial" w:eastAsia="Times New Roman" w:hAnsi="Arial" w:cs="Arial"/>
                <w:color w:val="003399"/>
                <w:sz w:val="17"/>
                <w:szCs w:val="17"/>
                <w:lang w:eastAsia="es-AR"/>
              </w:rPr>
            </w:pPr>
            <w:hyperlink r:id="rId42"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5" w:name="5"/>
            <w:bookmarkEnd w:id="5"/>
            <w:r w:rsidRPr="001B7F27">
              <w:rPr>
                <w:rFonts w:ascii="Arial" w:eastAsia="Times New Roman" w:hAnsi="Arial" w:cs="Arial"/>
                <w:b/>
                <w:bCs/>
                <w:color w:val="009933"/>
                <w:sz w:val="20"/>
                <w:szCs w:val="20"/>
                <w:lang w:eastAsia="es-AR"/>
              </w:rPr>
              <w:t>"Contratos de Viaje y Turismo"</w:t>
            </w:r>
            <w:r w:rsidRPr="001B7F27">
              <w:rPr>
                <w:rFonts w:ascii="Arial" w:eastAsia="Times New Roman" w:hAnsi="Arial" w:cs="Arial"/>
                <w:color w:val="003399"/>
                <w:sz w:val="17"/>
                <w:szCs w:val="17"/>
                <w:lang w:eastAsia="es-AR"/>
              </w:rPr>
              <w:br/>
              <w:t>Valentina Núñez González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Civil y Comercial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3"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INTRODUCCION: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Viajar hoy día, ya no constituye una diversión reservada a ciertas elites con poder económico, como ocurría en otras épocas. Las ventajas a través de los distintos tipos de financiamientos, la organización de paquetes turísticos con precios accesibles y la globalización, que nos permite acceder a través del cable o internet al conocimiento de regiones y países antes solo conocidos por láminas en los libros de geografía incentivan nuestro interés por conocerlos, revolucionando el turismo y generando lo que se dio en llamar la “industria del viaje” o “la industria sin chimeneas”.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lo que antiguamente se conocía como el “viaje a medida” hecho en base a una programación establecida por el viajero se ha pasado a los paquetes turísticos en donde el empresario se encarga de organizar el viaje, promoviendo un programa completo, denominado viaje combinado, al cual tienen acceso por su costo, un altísimo número de personas que obtienen de esta forma unas vacaciones sin tener que preocuparse mayormente por organizarlas, pues lo tiene todo preestablecido.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breve trabajo, trataremos de efectuar una visión rápida del fenómeno que describimos, analizando la naturaleza de las relaciones que se establecen entre el cliente y el proveedor de los paquetes turísticos, sus características y las responsabilidades que generan, puntualizando la falta en nuestro país de una legislación protectora específica, en beneficio del usuario y del prestador de servicios.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 TERMINOLOGIA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La expresión “contrato de viaje” es utilizada no como contrato de transporte de personas, ya sea por tierra, aire y mar, sino en el que le otorga el Convenio Internacional de Bruselas (1970), en su Art. 1° al señalar que “es un contrato de organización de viaje como un contrato de intermediación de viaje”.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Diferenciando un tipo de contrato de otro, vemos que en el contrato de transporte de personas, el viajero obtiene su pasaje directamente de la empresa de transporte (o a través de un agente o representante) que se limita a trasladarlo hasta un destino determinado, concluyendo allí sus obligaciones.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contrato de viaje sin embargo, la empresa o la agencia, no sólo se ocupa del transporte de las personas que contratan con ellas, sino también de organizar el viaje. Esta responsabilidad conlleva el deber de asesorar al viajero, velando porque el mismo cuente con los servicios expresamente convenidos. Quien echa mano a un contrato de viaje, lo hace esperando no sólo ser transportado a destino, sino también que sus reservas, alojamientos, traslados y conexiones, estén debidamente coordinados a fin de tener la tranquilidad de contar con un buen asesoramiento y que su viaje se realizará en la forma, plazo y modalidades convenidos. De manera que la empresa organizadora del viaje debe ofrecer como prestación las funciones de organización y coordinación del viaje programado. Quien adquiere un pasaje en una empresa de turismo espera encontrar un servicio idóneo y responsable, por lo que la empresa o agencia debe realizar una gestión amplia, explícita y sobre todo responsable.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SUJETOS INTERVINIENTES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un lado, como lo hemos señalado precedentemente, se encuentra la empresa de viajes o la agencia de viajes o el agente de viajes, la que a su vez comprende toda una compleja red de prestadores de servicios que van de transportadores a hoteleros, dueños de restaurantes, disquerías, shoppings, centros deportivos, etc. Y por el otro se encuentra el turista, consumidor del servicio que suscribe un texto normalmente predispuesto.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relación al primer sujeto, sea cual fuere la denominación que adopte ofrecen al cliente en forma directa o como intermediaria la posibilidad de los siguientes servicios: a) servicio de organización de tours, que comprende todos o algunos viajes y la reserva de hotelería y programación de actividades y b) cualquiera de los servicios mencionados sin integrar un paquete total de servicios.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su parte, la persona que celebra un contrato de viaje, ya sea contratando todo u paquete turístico o algunos de los servicios que integran los mismos pretende obtener de la relación que la prestadora de servicios le organice el itinerario, sus traslados, alojamientos excursiones opcionales y en general todo lo que le proporcione la tranquilidad de no tener que llegar a destino y comenzar la búsqueda de estos servicios.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ese motivo, el contrato de viaje es un figura jurídica multiforme difícil de encasillar sin mas en alguna de las locaciones conocidas (obras o servicios). En algunos casos, puede tomar la forma de una locación de servicios, otras de obra solamente, otras una combinación de ambas. También puede adoptar la forma del mandato o de la simple intermediación que caracteriza la actuación del agente de comercio.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pluralidad de sujetos que participan en la prestación de los servicios genera problemas jurídicos importantísimos, como ser: a ) la dificultad den la identificación del responsable y la delimitación de las respectivas obligaciones. Se produce un fenómeno raro, en la medida en que se concentra el aspecto económico se desintegra el aspecto jurídico y b) en muchas ocasiones aparece el elemento extranjería, que puede servir de punto de conexión para la aplicación de una ley que resulta extraña al turista, ante tribunales igualmente extranjeros.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ello la aparición de un conflicto requiere un análisis específico del caso, a fin de poder determinar con certeza a que tipo de contrato corresponde y aplicar lo que dispone el Art. 715 del Código Civil: ”Las convenciones hechas en los contratos forman para las partes una regla a la cual deben someterse como a la ley misma, y deben ser cumplidas de buena fe. Ellas obligan a lo que esté expresado , y a todas las consecuencias virtualmente comprendidas”.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TIPICIDAD DEL CONTRATO DE TURISMO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códigos civiles generalmente no regulan el contrato de turismo o el contrato de viaje, por lo que frecuentemente se lo suele incluir en la categoría de “contratos innominados” sin embargo hay acuerdo doctrinal en que tiene una alta tipicidad social al punto que se celebra y formaliza mediante un instrumento que contiene condiciones generales predispuestas, calificándoselo de contrato por adhesión. Por ello con gran realismo se dice, que las agencias de turismo someten la voluntad de los particulares y a su vez, son sometidas por la voluntad de las aseguradoras, que condicionan de hecho muchas de las disposiciones contenidas en los contratos.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Es frecuente observar que al iniciarse la relación entre el particular y la empresa de viajes, lo primero que se le entrega son una serie de folletos o revistas que contienen los paquetes turísticos ofrecidos y en la última página se encuentran detalladas las cláusulas respectivas, que generalmente son leoninas, pues contienen en la mayoría de los casos cláusulas de eximición de responsabilidad que dejan generalmente desprotegido al turista.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nuestro país no se conocen muchos casos de demandas por incumplimientos de contratos de viajes, por lo que no poseemos alguna jurisprudencia al respecto. Si podemos mencionar, jurisprudencia argentina en donde al pronunciarse sobre el valor de las cláusulas generales a las que nos hemos referido, han señalado por ejemplo: ”Si tanto en los folletos suministrados por una empresa a cargo de la organización de viajes al exterior, como en la solicitud de inscripción, figuraban cláusulas relativas al conocimiento y aceptación de los interesados acerca del plan que regía el viaje, no puede luego intentarse acreditar su desconocimiento, ya que implicaría la existencia de una negligencia culpable que no puede tener amparo legal, máxime cuando no se ha demostrado la existencia de maniobras tendientes a ocultar las reales condiciones de la contratación”(Cám. Nac. Com. Sala B-27-3-81.”Álvarez Carlos c/ Organización Polvani S.R.L. y otro) o que “ La aceptación sin reserva alguna por la adquirente de los cupones referidos al servicios que contrata con una agencia de turismo, permite presumir su consentimiento con las condiciones en que se presta, no se advierte mala fe por la inclusión de una cláusula de irresponsabilidad en el cupón cuya claridad no deja dudas sobre los alcances de la misma” (Cám. Nac. Civ.,Sala C, 6-9-74.”Cordonnier de Linne c( Viajes ATI S.A. Agencia de Turismo Integral”).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otros magistrados se adecuan a las nuevas tendencias de protección al consumidor y han resuelto por ejemplo:” Las cláusulas de irresponsabilidad de la agencia turística contenida en el dorso del contrato no pueden ser invocadas contra las pretensiones de quien reclama daños y perjuicios derivados por el incumplimiento de aquel cuando ese contrato no fue suscrito por el accionante en oportunidad de la contratación, sin que la ausencia de esa firma le quite validez como contrato ya que no fue desconocido por la parte demandada” ( Cám. Nac. Com .Sala B, 27-9-77. Sztokhamer,R c/ Touring Viajes 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Existen algunos instrumentos internacionales que regulan un mínimo de condiciones para la prestación de servicios. El mas importante es la Convención Internacional de Contratos de Viajes (C.I.C.V.) suscrito en Bruselas el 23 de abril de 1970, siendo nuestro país signatario del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Dicha Convención pretende asegurar un mínimo de tutela al viajero del país suscriptor del tratado, dejando a salvo la legislación interna mas favorable a aquel. También permite a los Estados partes reservarse la facultad de hacer regir por su propia legislación el contrato de viaje “interno”, es decir aquel que no tiene puntos de contacto internacionales.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más importante del C.I.C.V es que declara nulas todas las estipulaciones que, directa o indirectamente, deroguen las disposiciones de esa convención en sentido desfavorable al viajero. La nulidad de esa estipulación no trae la nulidad de otras disposiciones del contrato. En particular son nulas todas las cláusulas que cedan al organizador o al intermediario el beneficio de seguros contratados por el viajero, o las que desplacen la carga de la prueba.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CONVENCION DE BRUSELAS: Especies de contratos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Convención Internacional de Contrato de Viaje, no define lo que es un contrato de viaje, tal como se supone debe ser una definición. Lo que establece es la definición y diferenciación entre contrato de organización de viaje (c.o.v) y el contrato de intermediación de viaje (c.i.v), como especies del género contrato de viaje, al que como ya hemos dicho, lo considera diferente al contrato de transporte.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que si deja en claro, es que el contrato de viaje, no es un simple contrato de transporte de persona ya que en el Art. 14 de la Convención señala:” ni el organizador de viajes ni el intermediario de viajes son transportistas aun cuando el organizador de viajes pueda efectuar por sí mismo las prestaciones de transporte, alojamiento o cualesquiera otros servicios”.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CONTRATO DE INTERMEDIACION DE VIAJE ( C.I.V)</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contrato de intermediación de viaje es aquel por el cual una persona (agencias de turismo)asume habitualmente la obligación de procurar a otra (viajero, turista, etc.) que paga un precio, un contrato de organización de un viaje, o una o alguna de las prestaciones independientes que permitan efectuar un viaje o una estadía cualquiera.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discutida cual es la naturaleza jurídica del contrato celebrado entre el intermediario con el cliente o turista. Las principales posiciones asumidas por la doctrina son: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a)Tesis del mandato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Un importante sector de la doctrina y la jurisprudencia considera que este contrato se rige por las reglas del mandato: el turista – mandante – celebra con la agencia – mandataria – un contrato para que concluya con otra empresa un contrato de transporte, hospedaje,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Tal pareciera ser el criterio de la Convención de Bruselas al disponer en su Art. 17 que: “Todo contrato concluido por el intermediario de viajes con un organizador de viajes o con las personas que le proveen prestaciones aisladas, se considera concluido por el viajero”.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jurisprudencia italiana justifica la calificación de mandataria con los siguientes argumentos: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b)La denominación utilizada de intermediaria, evoca muchas veces, la posición de alguien que actúan en nombre de otro.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c)La naturaleza del servicio desarrollado: la agencia se compromete a prestar una actividad de cooperación externa y jurídica, que no consiste en un resultado; el cumplimiento de una actividad negocial constituye el elemento diferenciador del mandato respecto de otras especies, entre ellas la locación de obra, en la que el sujeto se obliga a una actividad(material o intelectual, no negocial) que culmina siempre en la producción de un resultado.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d)La manera en que la compañía realiza su propia utilidad. En el contrato de viaje, al igual que en el mandato, no existe alea, pues la determinación a forfait responde a la exigencia del buen funcionamiento de la agencia.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calificación del contrato como mandato trae como consecuencia que la agencia sólo se obliga a que exista identidad o analogía entre lo que prometió procurar (medio de transporte, tipo, categoría de hotel, visitas guiadas, etc.) y lo efectivamente prestado, pero no responde por las deficiencias que se verifiquen en el curso de la prestación del servicio prometido. De estas, sólo responderá si se le prueba culpa in eligendo o culpa in omitiendo, del mismo modo que un mandatario responde por la falta de diligencia propia pero no por el hecho de terceros con los que contrata.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posición resulta insatisfactoria para ciertos sectores de la doctrina, a la luz de las nuevas tendencias de protección al consumidor, que señaláramos párrafos atrás de allí que surgieran nuevas posiciones que analizaremos brevemente.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Mención aparte merece el hecho que en muchos contratos de viaje, incluyen entre las condiciones generales predispuestas, una cláusula por la cual la agencia se define como intermediaria entre el cliente y el empresario que efectuará prestaciones varias, declarándose responsable solo por las obligaciones inherentes al contrato de mandato. De este modo, se hace cargar al viajero con la mayoría de los gastos derivados del retardo del servicio de transporte, de epidemias, huelgas o cualquier otra causa. Por supuesto que si este contrato se califica como mandato, las cláusulas serán válidas, pero si se entiende que es un contrato innominado, o se aplica la normativa del transporte, tales cláusulas serían nulas.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e)Tesis de la locación de obra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Algunos autores sostiene que el contrato que se celebra entre agencia de viajes y turista se encuadra dentro de las normas de una locación de obra, la agencia de viajes es una empresa, cuya función económica es entregar un producto concluido (el paquete turístico).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Considerando esta postura, tendremos que la agencia no sólo se obliga a una actividad sino a un resultado, por lo que el incumplimiento contractual se produce por el solo hecho de no alcanzar el objetivo (la realización del viaje) De ahí, que si el viajero resulta víctima de un accidente, el transportista será responsable por el hecho ilícito y la agencia, por el incumplimiento contractual, lo que da mayores seguridades al usuario, adaptándose a las nuevas tendencias proteccionistas del consumidor.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f)Tesis del contrato de transporte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Quienes sustentan esta tesis, consideran que son aplicables al contrato de viaje, las disposiciones relativas al contrato de transporte, pro considerar que ésta es la prestación esencial y preeminente respecto de las otras prestaciones que integran el paquete turístico.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EL CONTRATO DE ORGANIZACIÓN DE VIAJE (C.O.V.)</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tipo de contrato, una persona (organizador de viajes) se obliga, en nombre propio mediante un precio global, a prestar un conjunto de servicios combinados de transporte, alojamientos independientes del transporte u otros servicios u operaciones similares entre transportistas.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En el Art. 1°, inciso 5° el Convenio de Bruselas se refiere al organizador de viajes definiéndolo como: “ toda persona que habitualmente asume el compromiso contemplado en el inciso 2° (contrato de organización de viaje) ya sea esta su actividad principal o no y la ejerza o no a título profesional”.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Convenio, si bien requiere habitualidad, no exige que se trate de una empresa, pero indudablemente que por la complejidad de funciones que deben desplegarse, la coordinación de trabajo personal y la utilización de los medios adecuados para un servicio eficiente, determinan la necesaria presencia de una empresa generalmente conocida como empresa de turismo o empresa de viajes. En los usos se suele denominarlas “empresas mayorista de viajes” y sus servicios, por lo general, suelen llegar al público a través de las agencias o intermediarios de viajes, diseminados por diversos países, lo cual no excluye que pueden atender al cliente y celebrar con éste el contrato de modo directo.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contrato de organización de viajes, crea a cargo del organizador prestaciones múltiples, esto es un conjunto de servicios combinados de transporte, de alojamiento, y servicios conexos. Por ello resulta apresurado querer encuadrar este contrato en alguna de las figuras típicas como ser locación de obra, servicios, etc. Pues lomas importante es caracterizar a esta figura como un contrato en el cual el organizador de viajes asume frente al viajero una obligación de un resultado. El Art. 15 del Convenio de Bruselas dice al respecto: ”El organizador de viajes que encomienda a terceros las prestaciones de transporte, de alojamiento o cualquier otro servicio correspondiente a la ejecución del viaje o de la estada, se hace responsable de todo perjuicio causado al viajero en razón del incumplimiento total o parcial de estos servicios de acuerdo con las disposiciones que los rigen. Se hace responsable asimismo, por todo perjuicio causado al viajero en el cumplimiento de las prestaciones, salvo que el organizador de viajes probara que se ha comportado como organizador competente de viajes en la elección de la persona que ejecuta el servicio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CAUSA Y OBJETO DEL CONTRATO DE ORGANIZACIÓN DE VIAJE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causa del contrato, el fin turístico, consiste en el intercambio de un conjunto de prestaciones, consideradas globalmente, por ello normalmente no se expresa el nombre de los empresarios que efectúan dichas prestaciones ni el precio que corresponde a cada una de ellas individualmente. Al turista lo que le interesa es asegurarse la participación en un viaje que reúna las características ofrecidas por la agencia, y a ésta, reunir un número de participantes que le permita obtener la utilidad de su iniciativa.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voluntad de una de las partes contratantes, el turista, no se fracciona direccionándose simultáneamente a negocios múltiples o heterogéneos (a algunos de los cuales, puede ser impredecible para él). Por el contrario existe un contrato único que resulta de la combinación de diversos esquemas negociales (transporte, suministro, depósito,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objeto no es el complejo de las prestaciones singulares sino el viaje tomado globalmente como entidad autónoma respecto a las prestaciones singulares que lo componen.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actividad del operador de turismo (o mayoristas) se convierte en un verdadero producto comercial caracterizado por una prestación específica y por un precio que solo determinados agentes están en condiciones de ofrecer al mercado. Por eso se ha dicho que la profesionalidad específica del operador turístico está basada en su capacidad de obtener márgenes significativos de beneficios a través de un gran número de participantes y de viajes.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Obviamente el viajero tiene la posibilidad de organizar su propio viaje siguiendo el programa ofrecido por el operador turístico, pero el precio de las vacaciones resultará siempre mayor.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INCUMPLIMIENTO DEL C.O.V.</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Dada la globalidad que unifica a todas las prestaciones individuales la noción de incumplimiento debe ser cuidadosamente analizada.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Pueden darse dos situaciones: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g)Si el incumplimiento no incide de manera significativa respecto del programa de viaje, en principio, el resarcimiento está excluido porque el daño no es cuantificable: no es posible establecer su valor en el mercado ni el porcentaje que tiene la prestación incumplida, en estos casos ni siquiera puede hablarse de incumplimiento parcial.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h)Si el incumplimiento es de importancia en el contexto del viaje, se aplican los remedios previstos en el Código Civil, en especial, la disminución del precio. El juez podrá disponer una indemnización equitativa, en la cual deberá tener siempre presente la peculiaridad del objeto del contrato turístico.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concreto, el incumplimiento de una de las prestaciones previstas en el programa puede llegar a ser jurídicamente </w:t>
            </w:r>
            <w:r w:rsidRPr="001B7F27">
              <w:rPr>
                <w:rFonts w:ascii="Arial" w:eastAsia="Times New Roman" w:hAnsi="Arial" w:cs="Arial"/>
                <w:color w:val="003399"/>
                <w:sz w:val="17"/>
                <w:szCs w:val="17"/>
                <w:lang w:eastAsia="es-AR"/>
              </w:rPr>
              <w:lastRenderedPageBreak/>
              <w:t>irrelevante si no tiene entidad en el incumplimiento total o no incide en la totalidad del cumplimiento contractual ( un caso muy frecuente de excursiones organizadas de nuestro país a otros de idiomas diferentes, es el compromiso de contar con guías de habla española, lo cual en la generalidad de los casos no se cumple, pero si de todas formas alguien ha ido a recibir a los viajeros, los ha individualizado y trasladado a su destino, no puede considerarse como un incumplimiento contractual, mas bien sería una deficiencia de la agencia respectiva que incidiría en su imagen comercial en el futuro).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Ahora de tratarse de un incumplimiento importante, como ser la afectación de una cantidad considerable de días del tour por incumplimientos parciales o totales, sí dará lugar a indemnizaciones.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es excusable, dice una fallo jurisprudencial argentino, que los servicios prometidos por la empresa organizadora del tour queden sin prestar por la simple razón de que no aparezca quien deba hacerlo, ya que ello pone en evidencia las faltas de la organización”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responsabilidad de la empresa organizadora subsiste, aún cuando pruebe que los servicios estaban contratados y que el incumplimiento se debió a la culpa de los respectivos prestadores, por el principio de la culpa in eligendo y por aplicación analógica de lo dispuesto en el Art. 854 del Código Civil: “El que realiza la obra está obligado a ejecutarla personalmente o hacerla ejecutar bajo su responsabilidad por otro, a menos que, por su naturaleza o por cláusula expresa, esté incluida la posibilidad de la ejecución por otro. Si la obra debiera ejecutarse bajo la forma de empresa, el empresario, salvo pacto en contrario, deberá contar con los medios, máquinas y útiles necesarios para su realización y deberá también suministrar los materiales”.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10.- RESPONSABILIDAD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tópico abarcaremos lo relativo a la responsabilidad que asumen los empresarios y agentes de viajes, cuya actividad es mas amplia y compleja, asumiendo una serie de relaciones jurídicas, de las que emanan determinadas obligaciones a su cargo: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Hemos venido señalando que la Convención de Bruselas, distingue entre el organizador y el intermediario.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Sobre el organizador pesa una responsabilidad limitada, con presunciones de culpa, pero de base finalmente subjetiva, pues se puede liberar acreditando su propia diligencia en la elección.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Podemos distinguir tres supuestos: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i)Incumplimiento de las obligaciones de organización: responde de los actos y de las omisiones de sus dependientes y representantes cuando ellos actúan en el ejercicio de sus funciones como si fuera por sus propios actos y omisiones (Art. 12 del C.I.C.V). Consecuentemente debe reparar al viajero todo perjuicio causado en razón de la inejecución total o parcial de las obligaciones de organización, tal como ellas resultan del contrato o de esa convención, salvo que pruebe que ha actuado diligentemente (Art. 13 del mismo cuerpo).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j)Incumplimiento de prestaciones inherentes a la ejecución del viaje o estadía: si el organizador de viajes realiza por sí mismo las prestaciones de transporte, de alojamiento y toda otra prestación relativa a la ejecución del viaje o estadía, responde de todo perjuicio causado al viajero conforme a las disposiciones que rigen las mencionadas prestaciones (Art. 14). Es decir, responde como transportista, hotelero,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k)Si las prestaciones son realizadas por terceros, se distinguen dos especies: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general, deben reparar los perjuicios causados al viajero en razón de la inejecución total o parcial de las prestaciones.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si los daños han sido causados en ocasión de la ejecución de esas prestaciones, solo responde en caso de culpa in eligendo, pues se libera si prueba que se ha comportado diligentemente en la elección de las personas que ejecutan la prestación (Art.15).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intermediarios o agentes de viaje tienen una posición mas favorable, ya que carecen de legitimación pasiva en el juicio en que se reclaman los daños y perjuicios derivados del incumplimiento de las obligaciones asumidas en una excursión turística, si solo ha intervenido en el negocio como simple intermediaria de la organizadora del tour. Esta no es sin embargo, una conclusión absoluta ya que el agente intermediario es responsable frente al cliente cuando éste sufre un perjuicio a raíz de que el agente no ha remitido a la empresa organizadora los fondos o la documentación requerida en debido tiempo, o cuando ha incurrido en error en la información o asesoramiento brindado al cliente sobre la calidad de esa empresa organizadora y de los servicios que brinda.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cliente confía en su agente de viajes, no tiene otro medio idóneo para contar con una información veraz que le permita adoptar una decisión correcta.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Daño moral: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fin perseguido por el viajero es disfrutar de un periodo de distracción, hacer un paréntesis anual de trabajo. Este es su interés en la prestación contratada. Ahora bien, es indemnizable el daño derivado de la insatisfacción de ese interés causada por el incumplimiento del operador o del agente?. Tenemos el firme convencimiento que sí y de esta forma se han manifestado ya diversos fallos argentinos sobre todo que han hecho lugar a la indemnización del daño moral en casos de frustración de las expectativas, producidas por las molestias, inconvenientes, demoras, etc. Ocasionados en el transporte y alojamiento. En tal sentido, se ha dicho que la responsabilidad contractual de la empresa organizadora del viaje de turismo comprende el daño moral que experimenta el demandante por las angustias, el abandono, la falta de asistencia, la búsqueda de alojamiento para sí y su esposa e hijos, para proveer de sus necesidades en el extranjero.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11.- CONVENCION DE BRUSELAS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considerar que este es un instrumento de suma importancia en el manejo de las relaciones que se crean entre organizadores de viaje o intermediarios de viajes y el cliente o turista, haremos una breve reseña de las principales regulaciones que contiene.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l)AMBITO DE APLICACIÓN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2°, inciso 1° dispone que: ”El presente Convenio regirá todo contrato de viaje concluido por un organizador de viajes o por un intermediario de viajes cuando sus oficinas centrales, o a falta de esta, su residencia habitual o la empresa a través de la cual se ha concluido el contrato de viaje se encuentren en un estado contratante”. El inciso 2° dice: que será aplicado sin perjuicio de las legislaciones especiales estableciendo disposiciones más favorables para algunas categorías de pasajeros”.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m)OBLIGACIONES GENERALES DE LOS ORGANIZADORES E INTEMEDIARIOS DE VIAJES Y LOS VIAJEROS: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3° de la Convención dispone: E En el cumplimiento de las obligaciones resultantes de los contratos definidos en el Art. 1°, el organizador de viajes y el intermediario de viajes velarán por los derechos e intereses de los viajeros de acuerdo con los principios generales del derecho y el buen empleo de los mismos en esta esfera”.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n)CONTRATO DE ORGANIZACIÓN DE VIAJE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Entre las estipulaciones básicas que debe contener el Art. 6° dispone: ”El documento de viaje contendrá las siguientes indicaciones: a) lugar y fecha de su emisión; b) el nombre y la dirección del organizador de viajes; c)El nombre del o de los viajeros, y si el contrato hubiera sido concluido por otra persona, el nombre de ésta; d) los lugares y fechas de iniciación, de finalización así como las estadas; e) todos los detalles necesarios referentes al transporte, las estadas y todas las prestaciones accesorias incluidas en el precio; f) el número mínimo exigido de viajeros, si correspondiera; g) el precio global correspondiente a todas las prestaciones previstas en el contrato; h) las circunstancias y condiciones bajo las cuales el viajero podrá solicitar la rescisión del contrato ;i) toda cláusula atributiva de competencia arbitral en virtud del art. 29; j) la indicación de que el contrato queda sujeto a pesar de cualquier cláusula en contrario, alas disposiciones del presente Convenio; y k) cualesquiera otras indicaciones que las partes de común acuerdo, juzguen conveniente incluir en el presente”.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o)FACULTAD DE DESISTIMIENTO UNILATERAL A FAVOR DEL VIAJERO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9°: El viajero podrá en todo momento rescindir el contrato, total o parcialmente, bajo reserva de indemnizar al organizador de viajes de acuerdo con la legislación nacional o a las disposiciones del contrato”.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p)POSIBILIDAD DE RESOLUCION CONTRACTUAL RECONOCIDA AL ORGANIZADOR DE VIAJES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10° admite que el organizador de viajes pueda invocar la resolución contractual en los siguientes casos: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Circunstancias sobrevinientes imprevisibles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organizador de viajes podrá rescindir sin indemnización el contrato, total o parcialmente, cuando antes o durante la ejecución del mismo se presente circunstancias de carácter excepcional que el organizador no pueda haber conocido en el momento de la conclusión del contrato, y que, de haberlas conocido en ese momento, le hubieran ofrecido razones valederas para no concluirlo”.-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reunirse en el plazo previsto el número mínimo de viajeros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organizador de viajes podrá igualmente rescindir el contrato sin indemnización cuando no se hubiera alcanzado </w:t>
            </w:r>
            <w:r w:rsidRPr="001B7F27">
              <w:rPr>
                <w:rFonts w:ascii="Arial" w:eastAsia="Times New Roman" w:hAnsi="Arial" w:cs="Arial"/>
                <w:color w:val="003399"/>
                <w:sz w:val="17"/>
                <w:szCs w:val="17"/>
                <w:lang w:eastAsia="es-AR"/>
              </w:rPr>
              <w:lastRenderedPageBreak/>
              <w:t>el mínimo de viajeros previsto en el documento de viaje, a condición de que este hecho sea puesto en conocimiento del viajero por los menos quince días ante de la fecha en la cual el viaje o la estada debían iniciarse”.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q)OBLIGACION IMPUESTA AL ORGANIZADOR DE VIAJES EN CASO DE RESOLUCION CONTRACTUAL POR ALGUNA DE LAS CIRCUNSTANCIAS PREVISTAS PRECEDENTEMENTE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Dispone el Art. 10, inciso 3° ”En caso de rescisión de contrato antes de su ejecución, el organizador de viajes deberá rembolsar íntegramente la suma que hubiera recibido del viajero. En caso de rescisión de contrato durante su ejecución el organizador deberá tomar las medidas necesarias en interés del viajero; además las partes deberán compensarse mutuamente en forma equitativa”.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r)RESPONSABILIDAD DEL VIAJERO EN EL CONTRATO DE ORGANIZACIÓN DE VIAJE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Dispone el Convenio en el Art. 16: “ El viajero será responsable del perjuicio causado por su culpa al organizador de viajes o a personas ante las cuales éste deba responder en virtud del Art. 12 en razón del incumplimiento de las obligaciones que le corresponden conforme al presente Convenio o los contratos que éste rige; la falta se calcula basándose en la conducta normal de un viajero “.</w:t>
            </w:r>
            <w:r w:rsidRPr="001B7F27">
              <w:rPr>
                <w:rFonts w:ascii="Arial" w:eastAsia="Times New Roman" w:hAnsi="Arial" w:cs="Arial"/>
                <w:color w:val="003399"/>
                <w:sz w:val="17"/>
                <w:szCs w:val="17"/>
                <w:lang w:eastAsia="es-AR"/>
              </w:rPr>
              <w:br/>
              <w:t>Las disposiciones que rigen la responsabilidad del intermediario son bastante similares a las ya detalladas para los organizadores de viaje, por ello consideramos ocioso transcribirlas pues no ofrecen mayores diferencias.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12.- PLAZOS DE PRESCRIPCION SEGÚN CONVENIO DE BRUSELAS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30 del Convenio prevé tres supuestos para determinar el plazo de prescripción de las acciones que puede promover el viajero o sus herederos.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s)Caso de muerte, heridas o cualquier “ otra lesión a la integridad física o mental del viajero ocurrida antes de vencido el plazo para la finalización del servicio: prescribirán en un plazo de dos años que comenzará a correr a partir de la fecha prevista para la finalización de la prestación que de lugar al litigio”. Coincide con el plazo de prescripción previsto en nuestro Código Civil en el Art. 663, inciso f).</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Caso de muerte del viajero ocurrida después de la fecha prevista para la finalización del viaje, pero por un hecho acaecido durante este: “El plazo comenzará a correr desde la fecha del deceso sin que pueda exceder de tres años a contar desde la fecha prevista para la finalización de esta prestación”.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t)Con relación a otros juicios dispone”: Las acciones a las que pueda dar lugar un contrato de viaje regido por el presente Convenio, fuera de las mencionadas en el inciso 1° quedarán prescriptas en el plazo de un año, este plazo comenzará correr en la fecha prevista en el contrato para la finalización de la prestación que diera lugar al litigio”.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Concluimos diciendo que hemos realizado una pequeña investigación con la colaboración de algunos agentes de viajes, quienes en forma unánime han señalado la carencia de normas legales más específicas que regulen al contrato de viaje, en nuestro país y que la elaboración de estos instrumentos es un anhelo largamente acariciado por los mismos, a fin de contar con reglas claras de juego tanto para el prestador de servicios como para el usuario de los mismos.-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FARINA, Juan M., Contratos Comerciales Modernos. Editorial Astrea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CARLUCCI, Aída K., De Contratos Modernos. Rubinzal Culzoni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 ENCINA FAZIO, Marta, Responsabilidad de las Agencias de Viajes. </w:t>
            </w:r>
          </w:p>
          <w:p w:rsidR="001B7F27" w:rsidRPr="001B7F27" w:rsidRDefault="001B7F27" w:rsidP="001B7F27">
            <w:pPr>
              <w:spacing w:before="100" w:beforeAutospacing="1" w:after="100" w:afterAutospacing="1" w:line="240" w:lineRule="auto"/>
              <w:jc w:val="right"/>
              <w:rPr>
                <w:rFonts w:ascii="Arial" w:eastAsia="Times New Roman" w:hAnsi="Arial" w:cs="Arial"/>
                <w:color w:val="003399"/>
                <w:sz w:val="17"/>
                <w:szCs w:val="17"/>
                <w:lang w:eastAsia="es-AR"/>
              </w:rPr>
            </w:pPr>
            <w:hyperlink r:id="rId44"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6" w:name="6"/>
            <w:bookmarkEnd w:id="6"/>
            <w:r w:rsidRPr="001B7F27">
              <w:rPr>
                <w:rFonts w:ascii="Arial" w:eastAsia="Times New Roman" w:hAnsi="Arial" w:cs="Arial"/>
                <w:b/>
                <w:bCs/>
                <w:color w:val="009933"/>
                <w:sz w:val="20"/>
                <w:szCs w:val="20"/>
                <w:lang w:eastAsia="es-AR"/>
              </w:rPr>
              <w:t>"Contratos por Adhesión"</w:t>
            </w:r>
            <w:r w:rsidRPr="001B7F27">
              <w:rPr>
                <w:rFonts w:ascii="Arial" w:eastAsia="Times New Roman" w:hAnsi="Arial" w:cs="Arial"/>
                <w:color w:val="003399"/>
                <w:sz w:val="17"/>
                <w:szCs w:val="17"/>
                <w:lang w:eastAsia="es-AR"/>
              </w:rPr>
              <w:br/>
              <w:t>Carlos L. Palumbo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Civil y Comercial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5"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 Concepto. Origen. Naturaleza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los Contratos por Adhesión una de las partes (ofertante) establece los condicionantes que servirán para regirlos y la otra (adherente) los acepta; entendida la relación contractual dentro del ámbito propio del orden público, la moral y las buenas costumbres.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su denominación misma difieren los autores al identificarlos unos con la expresión “contratos de adhesión”, y otros con la de “contratos por adhesión”. Siguiendo la nomenclatura dada al instituto por nuestra legislación civil codificada vigente, consideramos apropiada la designación de “contratos por adhesión”. Puesto que, la adhesión se refiere a condiciones generales que encierran los detalles que conforman la oferta expuesta en forma predeterminada por el ofertante; por su parte, el adherente reviste tal carácter en caso de aceptación como clara expresión del consentimiento, pudiendo igualmente rechazarla. En esencia, la denominación correcta, a nuestro criterio, deriva entonces de la adhesión por una parte a condiciones generales preestablecidas por la otra, surgiendo así la identificación de contratos por adhesión a condiciones generales.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nacimiento del contrato por adhesión se remonta a los primeros años del siglo XX; resulta evidente que su implementación es consecuencia de la masificación de las transacciones en el ámbito comercial. Esto es, la multiplicación de acuerdos entre partes sobre actividades diversas que antes se instrumentaban como corolario de una concertación personal de condiciones, y que, con el contrato por adhesión se redujeron a que el ofertante establece la reglamentación de condicionantes a regir en la relación contractual y el adherente luego de un lógico análisis acepta o rechaza.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atribuye al jurisconsulto francés Saleilles, la denominación de contratos de adhesión, como derivación de restarle reconocimiento a través de la teoría contractual por considerarlos como producto de la voluntad de una sola de las partes. Fue así que los tratadistas de principios del siglo pasado se agruparon en el estudio del tema en PUBLICISTAS y CIVILISTAS o CONTRACTUALISTAS, los primeros negando el carácter de contrato a estos negocios jurídicos, y los segundos por el contrario reconociéndoles virtualidad contractual.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Podría decirse incluso que la “adhesión” es un elemento propio de todo contrato -de la naturaleza que fuere- por ser la adhesión innegablemente el resultado de la concertación o aceptación de los condicionantes que las partes exponen en cualquier contrato, sea de compraventa, de servicios, o de obra, por citar algunos. Es decir, la adhesión sin lugar a dudas implica una expresión del consentimiento.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contratos por adhesión, consideramos constituyen simplemente una variante en la forma de instrumentación de determinados acuerdos de voluntades. Si bien en ellos las condiciones preestablecidas por el ofertante no pueden disentirse, el adherente sin embargo expresa su voluntad aceptándolas o no; y, aún en la hipótesis de su aceptación, en caso de que el objeto del acuerdo contractual y/o su forma afectare el orden público, la moral y las buenas costumbres, o sus cláusulas revistieren el carácter de abusivas, existe la protección legal en la materia para revertirlo.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criterio imperante en los orígenes del instituto que lo consideraba como una clara expresión de abuso de una de las partes en la relación contractual, manifestada en la posición del ofertante al establecer unilateralmente todos las condiciones que la regirían respecto a la otra la del adherente, en la actualidad se halla plenamente desdibujado al tener el contrato por adhesión reconocimiento expreso como tendencia de codificación mayoritaria en la materia o alternativamente encontrar remedios legales a través de normativas generales en el ámbito del derecho civil sobre todo las que guardan vinculación con los contratos y otras fuentes de las obligaciones, y muy en particular las que regulan los principios de protección al consumidor: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los contratos por adhesión se manifiestan plenamente los requisitos considerados por la ley como esenciales del contrato; a saber, el consentimiento o acuerdo de las partes, el objeto, y la forma en los casos en que ésta fuere establecida como condición de validez. La circunstancia que en los contratos por adhesión los condicionantes hayan sido preestablecidos por el ofertante sin participación del adherente en modo alguno puede considerarse como un vicio del consentimiento, ya que, la falta de previa negociación o discusión de las previsiones que integran sus cláusulas no lo inhabilitan, puesto que legislación alguna supedita la negociación o discusión de las cláusulas de un </w:t>
            </w:r>
            <w:r w:rsidRPr="001B7F27">
              <w:rPr>
                <w:rFonts w:ascii="Arial" w:eastAsia="Times New Roman" w:hAnsi="Arial" w:cs="Arial"/>
                <w:color w:val="003399"/>
                <w:sz w:val="17"/>
                <w:szCs w:val="17"/>
                <w:lang w:eastAsia="es-AR"/>
              </w:rPr>
              <w:lastRenderedPageBreak/>
              <w:t>contrato como elemento necesario o al que se supedita su validez.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Tampoco hoy día puede restarse virtualidad jurídica al contrato por adhesión con la consideración imperante en los primeros años del siglo pasado, como criterio de sus detractores, en el sentido de resultar del mismo un desequilibrio entre las contraprestaciones a cargo de las partes (ofertante y adherente) motivada por una supuesta diferencia en las condiciones económicas de éstas. El contrato por adhesión simplemente surgió como producto de la contratación en masa, al principio solamente aplicado a servicios públicos como los de suministro de energía eléctrica, gas, agua, y teléfono, para pasar luego a los contratos de transporte de pasajeros, de cargas; a los contratos de seguro; llegando en la actualidad a ser aplicado en forma masiva a un sinnúmero de negocios jurídicos resultando incluso hasta imperceptible para los celebrantes respecto a su diferenciación con los contratos convencionales.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contratos por adhesión en los países cuya legislación los reconoce en forma expresa no representan inconvenientes para los adherentes en caso de resultar afectados por cláusulas restrictivas de carácter arbitrario o abusivas, por encontrar protección clara en el texto legal en particular; pero, incluso en los sistemas en que el instituto carece de consideración propia, tampoco significa en la situación sobredicha un desamparo para el adherente, ya que, por siempre existieron soluciones protectoras a través de la figura de la lesión en los contratos, y en el principio clásico que resta virtualidad a las convenciones particulares cuando atentan contra disposiciones legales dirigidas a tutelar el orden público y las buenas costumbres.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II. Criterio de tratadistas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Saleilles, Duguit, Hauriou, y otros publicistas de los primeros años del siglo pasado, al negar a los contratos por adhesión el carácter mismo de contratos los tipificaban como actos jurídicos no tradicionales o convencionales. Por el contrario, Planiol le atribuía el carácter de contrato propiamente, por su adecuación a los elementos que tipificaban a los contratos en general con la variante de basamentarse en una formula predeterminada por una de las partes. Con igual criterio se manifestaron Demogue, Dereux y Ripert, entre otros destacados tratadistas del Derecho en Francia. En la Argentina, autores de la talla de Salvat, y Lafaille, compartieron la conceptualización dada por la escuela contractualista, reconociendo virtualidad a los contratos por adhesión, destacando como elemento fundamental en la relación contractual en estudio a la voluntad expresada por el adherente; rechazando la teoría de la escuela publicista que interpretaba como un vicio del consentimiento a la falta de discusión previa de las condiciones del contrato.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concepción muy particular sobre la consideración de los contratos por adhesión en el ámbito del derecho privado, es la que expresara al desarrollar la voz “Contratos de Adhesión” en la Enciclopedia Jurídica Omeba, T. IV, el Dr. Roberto H. Brebbia, diciendo: “Jurídicamente hablando, no existen contratos de adhesión; lo que sí existen son nuevas modalidades en los actos jurídicos como producto de la evolución industrial y económica de las sociedades contemporáneas, que no son suficientes, como se verá, para configurar nuevas categorías contractuales”; y, en dicho contexto el citado autor menciona las modalidades nuevas principales que dieran origen a la teoría de la adhesión, según los tratadistas franceses Planiol y Ripert, tales como que: 1. La oferta tiene un carácter general y permanente; 2. La oferta emana de un contratante que goza de un monopolio de hecho o de derecho o de una gran potencia económica; 3. El objeto del contrato es la prestación de un servicio privado de utilidad pública; 4. La oferta se presenta bajo la forma de un contrato tipo cuyas cláusulas esenciales no pueden discutirse; 5. El contrato contiene una serie de cláusulas concebidas en exclusivo interés del ofertante. No obstante, Brebbia establecía en la monografía de su autoría antes citada, que no puede negarse que los actos llamados de adhesión sean verdaderos contratos.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tiempos recientes, tratadistas como J. Mosset Iturraspe, en mención al contrato por adhesión en su obra “Contratos”, dice reconocerlo como un negocio de base contractual no ignorando lo que tiene de reglamentario. Como razón de ser de los mismos, los considera como una consecuencia necesaria de las nuevas condiciones económicas de la sociedad; como un producto típico de nuestra época que no previó ni pudo prever el legislador del siglo XIX.</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trabajo elaborado por el Dr. Carlos Vallespino, sobre “Las condiciones generales de los contratos”, en la obra “Contratos” (Ed. La Rocca), define al contrato por adhesión a condiciones generales como aquel en el cual el contenido contractual realizado a fin de ser impuesto ha sido determinado con prelación por una de las partes contratantes, al que se deberá adherir sin discusión alguna quien desee formalizar un negocio jurídico determinado. Este autor, entre otras ventajas que atribuye al instituto consigna como principal el hecho de haberse constituido en una herramienta imprescindible para el tráfico negocial de masas de nuestros días.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Prof. Guillermo A. Borda, en su “Tratado de Derecho Civil”, al referirse a los contratos de adhesión, en el cual una de las partes fija todas las condiciones, en tanto que la otra sólo tiene la alternativa de rechazar o consentir. Destaca que la doctrina predominante le reconoce carácter contractual.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su monografía denominada “Contratos de Adhesión, Condiciones Contractuales Generales”, que integra el T. 2 de la obra “Contratación Contemporánea”, el Prof. Pedro F. Silva-Ruiz, cita a un autor inglés, Clive Schmitthoff, quien para establecer una definición de los contratos por adhesión, previamente clasifica los contratos por grupos con </w:t>
            </w:r>
            <w:r w:rsidRPr="001B7F27">
              <w:rPr>
                <w:rFonts w:ascii="Arial" w:eastAsia="Times New Roman" w:hAnsi="Arial" w:cs="Arial"/>
                <w:color w:val="003399"/>
                <w:sz w:val="17"/>
                <w:szCs w:val="17"/>
                <w:lang w:eastAsia="es-AR"/>
              </w:rPr>
              <w:lastRenderedPageBreak/>
              <w:t>características o rasgos que se contraponen, y dice que éstos son: “Propiamente negociados y de adhesión. Los primeros son los convenidos a través de una negociación mantenida en pie de relativa igualdad entre los contratantes; los contratos de adhesión son los que, en lugar de un proceso de oferta y aceptación realizada caso por caso, se celebran a base de ofertas uniformes, según un modelo fijado de antemano, dirigidas a todas las personas a las que pueda interesar la cosa o servicio ofrecido”. Silva-Ruiz en el análisis del instituto, trae a colación la clasificación de los contratos en general y la definición sobre los contratos de adhesión dadas por Luis Díez-Picazo en “Fundamentos del derecho civil patrimonial”, señalando: “Los contratos pueden clasificarse como contratos por negociación y contratos de adhesión. Esta clasificación es hoy día una de las más importantes. Denominamos contratos por negociación a aquellos en que las partes debaten o discuten o, por lo menos, se encuentran en posición de debatir y discutir el contenido del que el futuro contrato ha de ser dotado. Constituyen en nuestro Derecho la regla general. En cambio, denominamos contratos de adhesión o contratos por adhesión todos aquellos en que existe una previa prerredacción unilateral del contrato que es obra de una de las partes contratantes, por medio de formularios, impresos, pólizas o modelos preestablecidos y a la otra sólo le es permitido declarar su aceptación o eventualmente su rechazo”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III. Consideración del instituto a través de la legislación codificada. Código Civil Paraguayo y sus fuentes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actualidad existen países en los que, a través de la legislación codificada, los contratos por adhesión tienen reconocimiento expreso, tal es el caso del nuestro (Paraguay) en el que en su Código Civil, vigente desde el año 1987, se hace mención al instituto con disposiciones específicas como las que surgen del Artículo 691, que dice: “Cuando los contratos por adhesión contengan cláusulas restrictivas de carácter leonino, la parte adherente podrá ser dispensada de cumplirlas, o pedir su modificación por el juez. Considéranse tales especialmente las siguientes cláusulas: a) las que excluyen o limitan la responsabilidad del que las impuso; b) las que otorgan la facultad de disolver el contrato o cambiar sus condiciones, o de cualquier manera priven al adherente de algún derecho, sin causa imputable a éste; c) las que condicionan al consentimiento de la otra parte el ejercicio de algún derecho contractual del adherente; d) las que obligan al adherente a recurrir al otro contratante o a un tercero determinado, en caso de cualquier necesidad no directamente conexa con el objeto del contrato, o condicionan cualquier derecho contractual del adherente a tal recurso, o limitan su libertad al estipular con terceros sobre cualquier necesidad de la naturaleza expresada; e) las que imponen al adherente renuncia anticipada a cualquier derecho que podría fundar en el contrato en ausencia de tal cláusula; f) las que autorizan a la otra parte a proceder en nombre del adherente o en su sustitución, para obtener la realización de un derecho de aquel frente a éste; g) las que imponen al adherente determinados medios probatorios, o la carga de la prueba; h) las que sujetan a plazo o condición el derecho del adherente de valerse de las acciones legales, o limitan la oponibilidad de excepciones, o la utilización de procedimientos judiciales de los cuales el adherente podría hacer uso; e i) las que permitan la elección unilateral de juez competente para resolver una controversia entre las partes”. Estas previsiones del Código Civil Paraguayo, se ubican en su LIBRO TERCERO, DE LOS CONTRATOS Y DE OTRAS FUENTES DE OBLIGACIONES, TITULO I, DE LOS CONTRATOS EN GENERAL, CAPITULO II, DEL CONSENTIMIENTO O ACUERDO DE LAS PARTES; y, como fácilmente puede advertirse se dirigen -reglando la relación entre las partes- a tutelar con mucha prolijidad los derechos del adherente, por la situación particular de desprotección que podría afectarlo en consideración a que los condicionantes del contrato en el instituto son predeterminados por el ofertante, siempre que del contrato surjan cláusulas restrictivas de carácter leonino, esto es, faltas de equidad, generando por ende un desequilibrio en las contraprestaciones a cargo de cada parte, pudiendo dar vigencia en combinación incluso, en su caso, a la figura de la lesión (también prevista en el mismo cuerpo de leyes, Art. 671, al tratar de las disposiciones comunes a los contratos en general), como vicios nacidos con el contrato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texto del Art. 691, precedentemente trascripto, que se ocupa en forma específica del contrato por adhesión, encuentra como fuente el Art. 691 del Anteproyecto de la Comisión Nacional de Codificación. Sobre el particular, dicha Comisión Nacional de Codificación en su Exposición de Motivos, en el Libro Tercero, en relación al Capítulo II, que versaba sobre el consentimiento, a la letra destacaba: “... Se regulan los contratos por adhesión, incorporándose las normas de las más modernas legislaciones que buscan evitar el abuso por parte del contratante económicamente fuerte sobre el adherente compelido a aceptar sin alternativa, la norma preestablecida por el ofertante. Una enumeración lo más completa posible de las cláusulas que pueden ser dejadas sin efecto o modificadas por el juez, a pedido de parte, se incorpora al texto. Modalidades nuevas en la utilización de prestaciones que pueden configurar servicios públicos aconsejan este temperamento, sin temor a caer en peligroso casuismo”.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Respecto a los contratos por adhesión, el codificador Prof. Luis De Gásperi en su Anteproyecto de Código Civil, sin utilizar la denominación que los identifica, los contempló dedicándole las disposiciones que surgen de los Artículos 1035 y 1036, estableciendo en el primero, que: “Las condiciones generales del contrato unilateralmente establecidas por uno de los contratantes serán eficaces respecto del otro si en el momento de la conclusión del contrato éste las ha conocido o hubiera debido conocerlas usando la diligencia ordinaria. En todo caso, no tendrán efecto, si no fueren específicamente aprobadas por escrito, las condiciones que establezcan a favor del que las ha impuesto, limitaciones de responsabilidad, facultades de rescindir el contrato o suspender su ejecución, o sancionen a cargo del otro contratante caducidades, limitaciones a la facultad de oponer excepciones con terceros, prórroga o renovación tácita del contrato, cláusulas compromisorias o derogaciones a la competencia de la autoridad judicial”; y, consignando en el segundo, que: “En los contratos concluidos mediante la firma de formularios dispuestos para </w:t>
            </w:r>
            <w:r w:rsidRPr="001B7F27">
              <w:rPr>
                <w:rFonts w:ascii="Arial" w:eastAsia="Times New Roman" w:hAnsi="Arial" w:cs="Arial"/>
                <w:color w:val="003399"/>
                <w:sz w:val="17"/>
                <w:szCs w:val="17"/>
                <w:lang w:eastAsia="es-AR"/>
              </w:rPr>
              <w:lastRenderedPageBreak/>
              <w:t>disciplinar de modo uniforme determinadas relaciones contractuales, las cláusulas agregadas al formulario prevalecen sobre las de la matriz cuando fueren incompatibles con éstas, aunque las últimas no fueren canceladas. Se observará, además, la disposición del parágrafo segundo del artículo precedente”. El codificador en las notas puestas sobre los Artículos 1035 y 1036 de su anteproyecto, empleó la denominación de contrato de adhesión y destacó conceptos sobre el instituto, individualizándolo como una figura del Derecho moderno que fuera concebida para facilitar la conclusión de contratos por lo regular análogos, citando ejemplos como los de contratos de transporte y de seguros entre otros; estableciendo incluso que las condiciones generales de dichos contratos son plasmadas en formularios impresos, por lo cual se los identifica también con el nombre de contrato-tipo. Justificó la segunda parte del texto del artículo 1035, como dirigido a crear una protección al adherente ante condiciones leoninas que en casos pudiere afectarle recibiendo como sanción la invalidez de dichas condiciones de haber sido aprobadas por escrito en forma expresa. En su nota al artículo 1036, el Prof. De Gásperi fue elocuente al resaltar sobre sus previsiones, cuanto sigue: “Mira la presente disposición a garantizar al contratante llamado a prestar su adhesión al formulario preestablecido contra los abusos de la condición de preeminencia en que una empresa puede encontrarse frente al cliente aislado, en infracción del principio de la buena fe contractual”.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precedente evidencia, que en sus fuentes y en la redacción final, el texto del artículo 691 del Código Civil Paraguayo, se orientó a establecer una cuidada protección hacia los intereses del adherente ante posibles abusos del ofertante que pudieran manifestarse a través de cláusulas restrictivas de carácter leonino; y, no se detuvo en los conceptos precitados sino que dedicó nueve literales para ejemplificar situaciones consideradas como “cláusulas restrictivas de carácter leonino”; decimos que el texto del artículo sobredicho simplemente ejemplifica situaciones porque nos las limita, puesto que emplea para citarlas la frase “Considéranse tales especialmente las siguientes cláusulas”. Sobre el punto el Prof. Miguel Angel Pangrazio, en su obra “Código Civil Paraguayo Comentado”, Libro Tercero, pág. 31, anota: “Entendemos que la ley no puede prever todos los casos de abusos y ante esta razón debemos interpretar que la disposición del artículo 691 es una enumeración enunciativa”.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Aunque en forma indirecta, entendemos que las normativas del Artículo 713 del Código Civil Paraguayo, ubicado en el Capítulo relativo a la interpretación de los contratos en general y por ende lógicamente aplicables a los contratos por adhesión, se adecuan a los mismos con mucha particularidad al prever: “Las cláusulas insertas en las condiciones generales de los contratos así como en formularios dispuestos por uno de los contratantes, se interpretarán, en caso de duda, a favor del otro”. Tiene este artículo como fuente el texto -sin variantes de fondo- del artículo 1053 del Anteproyecto del Prof. Luis De Gásperi, quien en sus notas sobre las previsiones del artículo citaba como fuentes la legislación civil codificada de distintos países europeos y americanos, y las disposiciones del Código de Comercio entonces vigente en Paraguay, que en su artículo 218, inc. 7°, entre otras establecía como bases para la interpretación de las cláusulas de un contrato, en casos dudosos la formula de interpretar a las ambiguas, en el sentido de liberación, siempre a favor del deudor.</w:t>
            </w:r>
            <w:r w:rsidRPr="001B7F27">
              <w:rPr>
                <w:rFonts w:ascii="Arial" w:eastAsia="Times New Roman" w:hAnsi="Arial" w:cs="Arial"/>
                <w:color w:val="003399"/>
                <w:sz w:val="17"/>
                <w:szCs w:val="17"/>
                <w:lang w:eastAsia="es-AR"/>
              </w:rPr>
              <w:br/>
              <w:t>En el Código Civil Argentino -en su texto anteriormente adoptado como código de la materia en nuestro país-, no aparecían disposiciones que en forma expresa hagan alusión a los Contratos por Adhesión; las situaciones derivadas de estos contratos se regían por una composición de normas que emanaban de la aplicación del contenido de los Artículos 21, 953 y 1197; el primero se ubicaba en los Títulos Preliminares, Título I, De las leyes, y sometía las convenciones particulares a las leyes en cuya observancia estén interesados el orden público y las buenas costumbres; el 953, insertado en el Libro Segundo - De los derechos personales en las relaciones civiles, Sección Segunda - De los hechos y actos jurídicos que producen la adquisición, modificación, transferencia o extinción de los derechos y obligaciones, Título II - De los actos jurídicos, al referirse al objeto de los mismos, bajo pena de nulidad y como carentes de objeto, prescribía debían constituir cosas propias del comercio, no prohibidas, ilícitas o entre otras circunstancias que se contrapongan a las buenas costumbres o afecten derechos de terceros; finalmente el 1197, era el artículo que contenido en el mismo Libro Segundo, Sección Tercera - De las obligaciones que nacen de los contratos, Título I - De los contratos en general, al tratar de los efectos de los contratos mediante la consideración de que las convenciones hechas en los mismos forman para las partes una regla a la cual deben someterse como a la ley misma, dejaba consagrado el consabido principio de la autonomía de la voluntad..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obra relevante en el ámbito jurídico argentino, como el Anteproyecto de Código Civil del Dr. Juan Antonio Bibiloni (1936), tampoco registraba una consideración particular definida acerca de los contratos por adhesión. Su tratamiento igualmente podía darse indirectamente a través de normativas propias a los actos jurídicos y a los contratos en general.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Tal situación, -el no tratamiento en particular de los contratos por adhesión- incluso persistió con la importante reforma de que fuera objeto el Código de Vélez Sársfield, vigente en la Argentina, a través de la Ley N° 17.711 del año 1968, ya que, la redacción de los precitados artículos 21, 953, y 1197 permanecieron inalterables. Al respecto, en forma indirecta, el Prof. Guillermo A. Borda, en su obra ya mencionada, cuando se refiere a los contratos de adhesión y en especial a la falta en ellos de discusión de sus condiciones entre las partes, puesto que fueron prerredactadas por el ofertante y que al adherente sólo le resta la aceptación o el rechazo, expresa: “...porque la discusión no es de la esencia del contrato; lo esencial es que las partes coincidan en la oferta y la aceptación o, para decirlo en los términos de nuestro Código, (Cód. Civil Argentino) en la declaración de voluntad común”. Sobre la falta de regulación en el Código Civil Argentino de los contratos por adhesión, destacados tratadistas como J. Mosset Iturraspe consideraron la necesidad de la incorporación de normas en tal sentido.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Como tenemos relacionado, resulta evidente que las consideraciones directas o indirectas en materia de contratos por adhesión y sus derivaciones a través de la legislación civil codificada tienden a tutelar los derechos del adherente, como eventual víctima de abusos por parte del ofertante.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IV. Cláusulas vejatorias o abusivas en contratos por adhesión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mucho tiempo atrás data, en materia contractual, la denominación de cláusulas vejatorias que se diera para hacer referencia a aquellas que generan un desequilibrio evidente en las prestaciones a cargo de las partes, y si bien pueden encontrarse en contratos de cualquier naturaleza, es en los contratos por adhesión donde aparecen con mayor asiduidad por la característica propia de éstos relativa a la circunstancia que sus condicionantes son preestablecidos por una de las partes -el ofertante- y aceptados por la otra -el adherente- sin discusión para su concertación.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Sobre las cláusulas vejatorias, gravosas o de carácter leonino como indistintamente se las identificó; en nuestros días, su tratamiento tomó auge con la legislación dirigida a la protección y defensa de los consumidores, usuarios, y adherentes a las condiciones generales de contratación, empleándose la expresión cláusulas contractuales abusivas o simplemente cláusulas abusivas. Con mucha frecuencia tales cláusulas se presentan en los contratos por adhesión, ya que en éstos normalmente el consentimiento se materializa justamente mediante la adhesión de una parte a condiciones unilateralmente impuestas por la otra insertas en impresos, formularios, pólizas, y hasta en cupones o como complemento de materiales publicitarios. Estas condiciones predeterminadas, en casos incluso remiten a la declaración de conocimiento y aceptación lisa y llana por parte del adherente de reglamentos internos que ni tan siquiera se anexan a los contratos-tipo.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Dichas cláusulas vejatorias, gravosas, de carácter leonino, o abusivas, según se las menciona, son las que atentan contra los principios básicos de la buena fe que necesariamente deben regir en toda relación contractual dirigido al logro de un cabal equilibrio en las contraprestaciones a cargo de las partes. En esencia, pueden considerarse cláusulas abusivas las que en alguna medida alteran el marco de equidad contractual.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Sobre el punto, como tenemos reseñado, el Código Civil Paraguayo en su Art. 691, es elocuente, ya que considera los contratos por adhesión en vinculación al contenido de cláusulas restrictivas de “carácter leonino”, y al respecto en forma meramente enunciativa consigna casos que encierran el concepto de abuso, autorizando en consecuencia en ámbito judicial la dispensa de su cumplimiento para la parte adherente, o al pedido de su modificación.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 Legislación especial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materia, esto es, cláusulas abusivas en el ámbito de los contratos de consumo y/o de adhesión, la legislación paraguaya cuenta además con principios y procedimientos especiales de avanzada tendientes a tutelar los derechos del consumidor a través de las disposiciones que emanan de la Ley N° 1.334/98, de Defensa del Consumidor y del Usuario. Y, el fenómeno de las cláusulas abusivas principalmente derivadas de contratos de consumo encuentran conexidad con los contratos por adhesión, ya que, generalmente aquellos se materializan o instrumentan a través de éstos; y, presentan al mismo tiempo como nota que los caracteriza la circunstancia de pertenecer a la categoría de contratos no negociados.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verdadera importancia resultan las normas de la mencionada Ley N° 1.334/98, puesto que al establecer disposiciones en protección y defensa de los consumidores y usuarios, con la especificación en detalle del alcance de dicha protección y defensa, puesto que consigna abarcar su dignidad, salud, seguridad e intereses económicos. El artículo 4, inc. h), incluso define en forma expresa al contrato de adhesión, prescribiendo: “es aquél cuyas cláusulas han sido establecidas unilateralmente por el proveedor de bienes o servicio, sin que el consumidor, para celebrarlo, pueda discutir, alterar o modificar sustancialmente su contenido”.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la ley en cuestión, en su Capítulo V, PROTECCIÓN CONTRACTUAL, a través del contenido de sus artículos 24 al 28, dicta normativas claras que ratifican principios tendientes a conceptuar la figura del contrato de adhesión ahondando en todo lo relativo a la protección del consumidor, y en ese afán consigna que los contratos de adhesión instrumentados en formularios, en serie o mediante cualquier otro procedimiento similar, deberán ser redactados con caracteres legibles a simple vista y en términos claros y comprensibles para el consumidor, estableciendo a la vez un procedimiento dirigido a implementar la facultad que otorga al consumidor en el sentido de retractarse dentro de un plazo determinado de siete días contado a partir de la firma del contrato o desde la recepción del producto o servicio, especialmente cuando éste haya sido celebrado por teléfono o en el domicilio del consumidor. En cuyo caso, se reconoce al consumidor el derecho a la restitución de los valores cancelados. Es más, en lo concerniente a la interpretación de las cláusulas contractuales -en el articulado en mención de la Ley N° 1334/98-, se consagra que serán interpretadas de la manera más favorable al consumidor.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ley, específicamente sobre las cláusulas contractuales abusivas en su artículo 28, al dedicar ocho incisos al punto, considera como tales, -entre otras- a las que: desnaturalicen las obligaciones o que eliminen o restrinjan la responsabilidad por daños; importen renuncia o restricción de los derechos del consumidor o amplíen los derechos </w:t>
            </w:r>
            <w:r w:rsidRPr="001B7F27">
              <w:rPr>
                <w:rFonts w:ascii="Arial" w:eastAsia="Times New Roman" w:hAnsi="Arial" w:cs="Arial"/>
                <w:color w:val="003399"/>
                <w:sz w:val="17"/>
                <w:szCs w:val="17"/>
                <w:lang w:eastAsia="es-AR"/>
              </w:rPr>
              <w:lastRenderedPageBreak/>
              <w:t>de la otra parte; impongan la utilización obligatoria del arbitraje; e, impongan condiciones injustas de contratación, exageradamente gravosas para el consumidor, o causen su indefensión. Resalta en el texto del mencionado artículo 28, el rigor de la Ley N° 1334/98 al no solo señalar taxativamente las cláusulas consideradas abusivas en el ámbito de los contratos por adhesión sino establecer al mismo tiempo que dicha consideración conlleva la nulidad de pleno derecho de las mismas.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ámbito internacional de la materia, cabe traerse a colación por la firmeza de sus principios, las normativas que en relación a las cláusulas contractuales abusivas emanan de la legislación española vigente sobre condiciones generales de la contratación, sentando los principios que consideran cláusulas abusivas todas aquellas estipulaciones no negociadas individualmente que en contra de las exigencias de la buena fe causen, en perjuicio del consumidor, un desequilibrio importante de los derechos y obligaciones de las partes que se deriven del contrato; y, estableciendo al mismo tiempo que serán nulas de pleno derecho y se tendrán por no puestas las cláusulas, condiciones y estipulaciones en las que se aprecie el carácter abusivo.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 Jurisprudencia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669 del Código Civil Paraguayo, inicia el tratamiento de su LIBRO TERCERO - DE LOS CONTRATOS Y DE OTRAS FUENTES DE OBLIGACIONES, TÍTULO I - DE LOS CONTRATOS EN GENERAL, CAPITULO I - DE LAS DISPOSICIONES COMUNES, y, a través de sus normativas -sin definir el contrato- establece el ámbito en el que los interesados pueden libremente reglar sus derechos mediante contratos, configurado en la observación de las normas imperativas de la ley, y en particular, en las contenidas en el Título de los contratos y en el relativo a los actos jurídicos. De esta forma, las prescripciones del código sobre el ejercicio de los derechos en alusión a los actos jurídicos (como las que específicamente surgen del Art. 372, sobre el ejercicio abusivo del derecho) son aplicables a los contratos en general, y por ende a los contratos por adhesión en particular; y, así lo entendieron nuestros tribunales, en materia de contratos (contratos de servicios), a través de principios jurisprudenciales que sustentan, cuanto sigue: “En relación a la figura del abuso del derecho el art. 372 del CC, establece que la responsabilidad del agente por el perjuicio que cause se da siempre que se ejerza el derecho con intención de dañar con o sin ventaja para sí” (TApel. Civil y Com. Sala 1. Asunción, noviembre 29-2001; La Ley Revista Jurídica Paraguaya, Año 25/ Núm. 1/ Febrero de 2002). Corresponde destacar, que el referido Art. 372 del Código Civil -que sirviera de basamento a la jurisprudencia parcialmente antes trascripta- en lo principal a la letra, consigna: “Los derechos deben ser ejercidos de buena fe. El ejercicio abusivo de los derechos no está amparado por la ley...”. Por las consideraciones que preceden, es fácil percibir que las disposiciones del Art. 372 del CC, en atención a las previsiones del Art. 669, son aplicables a los contratos por adhesión.</w:t>
            </w:r>
            <w:r w:rsidRPr="001B7F27">
              <w:rPr>
                <w:rFonts w:ascii="Arial" w:eastAsia="Times New Roman" w:hAnsi="Arial" w:cs="Arial"/>
                <w:color w:val="003399"/>
                <w:sz w:val="17"/>
                <w:szCs w:val="17"/>
                <w:lang w:eastAsia="es-AR"/>
              </w:rPr>
              <w:br/>
              <w:t>En el pasado, entorno al contrato por adhesión y sus derivaciones la jurisprudencia, tanto foránea como local, reconocía una nítida tendencia a consagrar el principio de autonomía de la voluntad para tratarlo, sin establecer una distinción marcada en particular sobre los contratos por adhesión respecto a los demás contratos en general. Sin embargo, en tiempos modernos resalta la jurisprudencia que se ocupa de la figura de los contratos por adhesión con una consideración propia. Así, en Argentina sobre los contratos por adhesión se dejaron sentados principios jurisprudenciales tales como los que, establecen: “Contrato tipo es aquél de contenido fijo, mediante el cual se establecen relaciones jurídicas de masa o en serie, predeterminándose el contenido” (C.Com.Cap., Sala A, 22/5/70; Jurisprudencia Argentina, T. 7, 1970); “Los contratos tipos son válidos, legítimos y eficaces salvo que, como en cualquier otro contrato, existieren vicios del consentimiento o fuesen contrarios al orden público, moral y buenas costumbres” (C.Com.Cap., Sala A, 22/5/70; Jurisprudencia Argentina, T. 7, 1970); “En la interpretación de las cláusulas de un contrato de adhesión, en tanto resulten oscuras, contradictorias, incompletas, ambiguas o defectuosas, rige el principio “contra proferentem”; de modo que deben ser interpretadas contra el predisponente o contra el autor de la uniformidad de las cláusulas, de los módulos o formularios impuestos al otro contratante”; “El principio “contra proferentem” que rige en la interpretación de los contratos de adhesión, están basados en la protección del adherente, que se encuentra frente a un complejo normativo unitario, casi un decálogo unilateralmente predispuesto y respecto del cual debe prestar una adhesión global” (CNCom. Sala C, febrero 13/1998; Revista Jurídica Paraguaya La Ley, T. 21,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Similar criterio en la materia sustenta la jurisprudencia en Paraguay, al reconocer, en referencia a los contratos en general, que: “La buena fe es la piedra angular del contrato y la equidad debe tomarse en consideración al sentenciar cuando no existe una prohibición expresa de la ley” (CS, Asunción, marzo 13-978; Revista Jurídica Paraguaya La Ley, Repertorio General, T. I, 1977-1982). Destacándose en relación al contrato por adhesión en particular, el principio que sustenta: “La interpretación del contrato de adhesión debe ser hecha con criterio amplio capaz de restablecer la igualdad y debida proporcionalidad entre las partes” (CS, Asunción, setiembre 16-986; Revista Jurídica Paraguaya La Ley, Repertorio General, T. II, 1983-1987).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los principios jurisprudenciales traídos a colación surge con claridad la existencia de un criterio uniforme en la materia; dicho criterio reconoce como elementos primarios a la buena fe en materia contractual en general, y la protección del adherente en la interpretación de los contratos de adhesión en particular, encaminado a conservarse un equilibrio justo en las contraprestaciones que se deben las partes.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VII.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Luego del estudio practicado sobre la naturaleza jurídica de los Contratos por Adhesión, sus antecedentes, su consideración por la doctrina, la legislación y la jurisprudencia, -local y foránea- concluyendo se deduce que la figura tiene carácter jurídico propio; que el instituto nació como fruto de la negociación en masa; y, que precisamente por que como característica resaltante y peculiar sus condiciones aparecen preestablecidas por una de las partes contratantes, -el ofertante- sin otra opción para la otra -el adherente- que su aceptación o rechazo, es que la legislación en la materia establece una marcada protección para este último. Así, según revisáramos, países como el nuestro le dedican singular destaque en el ámbito legislativo, ya que, en Paraguay el Código Civil al regular los Contratos por Adhesión en forma expresa, empleando normas claras tutela a la vez los derechos del adherente -por las características particulares del contrato,- situación que se ratifica con singular énfasis a través de las disposiciones que en la materia emanan de la ley de defensa del consumidor y del usuario.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cláusulas vejatorias o abusivas, si bien pueden presentarse en negocios jurídicos de cualquier naturaleza, es en los contratos por adhesión donde generalmente encuentran mayor aplicación, lo cual es fácilmente comprensible por la preelaboración de sus condicionantes como elemento característico. Pero, tal rasgo en modo alguno puede alcanzar a identificar a las cláusulas contractuales vejatorias o abusivas con los contratos por adhesión en particular.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Consecuentemente, resulta fácil concluir que los contratos por adhesión nacieron y subsisten como un medio práctico y perfectamente idóneo de negociación entre partes, que en la esfera del derecho civil encuentra normativas que directa o indirectamente lo regulan, y en el que la buena fe aparece como elemento determinante para su viabilidad.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BORDA, GUILLERMO A. “Tratado de Derecho Civil”. Tomo II. Editorial Perrot. Buenos Aires, 1989.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BREBBIA, ROBERTO H. “Enciclopedia Jurídica Omeba”. Tomo IV. Voz: “Contrato de Adhesión”. Editorial Bibliográfica Argentina. Buenos Aires, 1956.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GASPERI, LUIS. “Anteproyecto de Código Civil”. Editorial El Gráfico. Asunción, 1964.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MOSSET ITURRASPE, JORGE. “Contratos”. Ediar Editora. Buenos Aires, 1987.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PANGRAZIO, MIGUEL ANGEL. “Código Civil Paraguayo Comentado”. Libro Tercero. Intercontinental Editora. Asunción, 1994.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SILVA-RUIZ, PEDRO F. “Contratos de Adhesión, condiciones contractuales generales” en “Contratación Contemporánea”. Palestra Editores. Lima y Editorial Temis. Bogotá, 2001.</w:t>
            </w:r>
            <w:r w:rsidRPr="001B7F27">
              <w:rPr>
                <w:rFonts w:ascii="Arial" w:eastAsia="Times New Roman" w:hAnsi="Arial" w:cs="Arial"/>
                <w:color w:val="003399"/>
                <w:sz w:val="17"/>
                <w:szCs w:val="17"/>
                <w:lang w:eastAsia="es-AR"/>
              </w:rPr>
              <w:br/>
              <w:t>VALLESPINO, CARLOS. “Las condiciones generales de los contratos” en “Contratos”. Ediciones La Rocca. Buenos Aires, 1989.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LEGISLACION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“CODIGO CIVIL”, Apéndice I - “Exposición de Motivos” - (S/ Libro Tercero, Capítulo II) - Comisión Nacional de Codificación. Editorial El Foro. Asunción, 1986.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“CODIGO CIVIL DE LA REPUBLICA ARGENTINA”. Abeledo-Perrot. Buenos Aires, 1971.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Ley N° 1334, Año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JURISPRUDENCIA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“JURISPRUDENCIA ARGENTINA”, Serie Contemporánea, T. 7, Julio-Setiembre 1970. Buenos Aires, 1970.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“REVISTA JURÍDICA PARAGUAYA LA LEY - REPERTORIO GENERAL”, T. I 1977-1982, T. II 1983-1987. Asunción.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“REVISTA JURÍDICA PARAGUAYA LA LEY”, T. 21, Año 1998. Asunción.</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6"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7" w:name="7"/>
            <w:bookmarkEnd w:id="7"/>
            <w:r w:rsidRPr="001B7F27">
              <w:rPr>
                <w:rFonts w:ascii="Arial" w:eastAsia="Times New Roman" w:hAnsi="Arial" w:cs="Arial"/>
                <w:b/>
                <w:bCs/>
                <w:color w:val="009933"/>
                <w:sz w:val="20"/>
                <w:szCs w:val="20"/>
                <w:lang w:eastAsia="es-AR"/>
              </w:rPr>
              <w:t>"Corte Penal Internacional"</w:t>
            </w:r>
            <w:r w:rsidRPr="001B7F27">
              <w:rPr>
                <w:rFonts w:ascii="Arial" w:eastAsia="Times New Roman" w:hAnsi="Arial" w:cs="Arial"/>
                <w:color w:val="003399"/>
                <w:sz w:val="17"/>
                <w:szCs w:val="17"/>
                <w:lang w:eastAsia="es-AR"/>
              </w:rPr>
              <w:br/>
              <w:t>Giuseppe Fossati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Derechos Humanos e Internacional Humanitario</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7"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Sumario: 1) Introducción 2) Antecedentes históricos 3) Generalidades 4) Competencia: 4.1) El genocidio; 4.2) Crímenes de lesa humanidad; 4.3) Crímenes de guerra 5) Organización: 5.1) La presidencia; 5.2) Sección de cuestiones preliminares; 5.3) Sección de primera instancia; 5.4) Sección de apelaciones; 5.5) La Fiscalía; 5.6) La Secretaría 6) Conclusiones y opinión.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17 de julio de 1998 se adoptó en Roma el “Estatuto de Roma de la Corte Penal Internacional”, instrumento internacional que da origen al nacimiento de la Corte Penal Internacional o Tribunal Penal Internacional, nombre que le dan algunos autores.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experiencia poco alentadora de los últimos años con respecto a la observancia de los Derechos Humanos, acentuada por las “guerras totales” que ha vivido la población mundial en el último siglo, estimuló a la comunidad internacional a buscar el modo más adecuado y conveniente de eliminar definitivamente las atrocidades en contra de nuestros semejantes, especialmente aquellas realizadas en nombre de la “razón de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 así como nace la Corte Penal Internacional, y el preámbulo de su Estatuto nos ilustra claramente los conceptos arriba señalados, en el sentido de procurar la eliminación de los crímenes más graves para la comunidad internacional. De esta manera, ese preámbulo, luego de afirmar la realidad configurada por la unión estrecha de los pueblos, y observando el hecho de que dicha realidad está permanentemente amenazada por una ruptura, hace constar expresamente el hecho de “que en este siglo, millones de niños, mujeres y hombres han sido víctimas de atrocidades internacionales que desafían la imaginación y conmueven profundamente la conciencia de la humanidad”2.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Mal que bien, estos propósitos no son nuevos en el orden internacional, dado que han sido expresados en numerosos tratados y acuerdos internacionales. El carácter revolucionario de la Corte Penal Internacional estriba en el hecho de que por primera vez se crea un organismo internacional que entiende sobre la violación a dichos principios fundamentales. Es así como, en el mismo Preámbulo del Estatuto de la Corte se lee: “Decididos a poner fin a la impunidad de los autores de esos crímenes y a contribuir así a la prevención de nuevos crímenes”3. Por eso, afirmamos que se ha dado un gran paso a nivel internacional, ya que se impulsó la erradicación definitiva de crímenes de gravedad tan manifiesta como los que se prevén en el Estatuto de la Corte Penal Internacional.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Antecedentes históricos.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jurisdicción penal internacional es un anhelo mundial que se va concretando poco a poco. El artículo 227 del Tratado de Versalles –en el año 1919– ya previó el enjuiciamiento de Guillermo II, Emperador de Alemania, por un Tribunal Internacional ––donde el término “internacional” bien podría considerarse “interaliado”–– para responder a los cargos de “ofensa suprema contra la moral internacional y la autoridad sagrada de los tratados”. Sin embargo, el juicio no pudo llevarse a cabo por la negativa de los Países Bajos de extraditar al imputado. En los dos artículos siguientes ––228 y 229––, se estipulaba la organización del proceso a seguir en el enjuiciamiento.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dudas, un paso muy importante fue dado en los juicios de Nuremberg y Tokio, posteriores a la Segunda Guerra Mundial, en cuanto al establecimiento de una jurisdicción internacional. Sin embargo, no podemos hablar aquí de un juicio realizado por una comunidad internacional, sino que simbolizaron más bien la expresión de la denominada </w:t>
            </w:r>
            <w:r w:rsidRPr="001B7F27">
              <w:rPr>
                <w:rFonts w:ascii="Arial" w:eastAsia="Times New Roman" w:hAnsi="Arial" w:cs="Arial"/>
                <w:color w:val="003399"/>
                <w:sz w:val="17"/>
                <w:szCs w:val="17"/>
                <w:lang w:eastAsia="es-AR"/>
              </w:rPr>
              <w:lastRenderedPageBreak/>
              <w:t xml:space="preserve">“justicia de los vencedores”, fenómeno éste que ya hemos observado en el frustrado juicio a Guillermo II, luego de la Primera Guerra Mundial.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reconociendo siempre la elaboración “cerrada” (en el sentido de su proveniencia unilateral de parte de las potencias victoriosas) de las normas de fondo y forma aplicadas a estos juicios, estas normas no se han basado ya en un tratado con el país derrotado, sino que provienen de un Estatuto. Éste es el Estatuto de Londres, del 8 de agosto de 1945, en cuya redacción participaron Estados Unidos, la entonces Unión Soviética, Francia y el Reino Unido. Este Estatuto es el que ha servido como base para la elaboración de las Cartas de los Tribunales Militares Internacionales de Nuremberg y Tokio. Santiago Benadava, en su obra “Derecho Internacional Público”, nos enuncia la distinción realizada en dichos instrumentos internacionales en cuanto a los crímenes de competencia de los Tribunales. Así tenemos:</w:t>
            </w:r>
            <w:r w:rsidRPr="001B7F27">
              <w:rPr>
                <w:rFonts w:ascii="Arial" w:eastAsia="Times New Roman" w:hAnsi="Arial" w:cs="Arial"/>
                <w:color w:val="003399"/>
                <w:sz w:val="17"/>
                <w:szCs w:val="17"/>
                <w:lang w:eastAsia="es-AR"/>
              </w:rPr>
              <w:br/>
              <w:t xml:space="preserve">Crímenes contra la paz: Básicamente referidos a la agresión y violación de los tratados por medio de una guerra. </w:t>
            </w:r>
            <w:r w:rsidRPr="001B7F27">
              <w:rPr>
                <w:rFonts w:ascii="Arial" w:eastAsia="Times New Roman" w:hAnsi="Arial" w:cs="Arial"/>
                <w:color w:val="003399"/>
                <w:sz w:val="17"/>
                <w:szCs w:val="17"/>
                <w:lang w:eastAsia="es-AR"/>
              </w:rPr>
              <w:br/>
              <w:t>Crímenes de guerra: Crímenes de guerra “convencionales” - asesinato de rehenes, destrucción injustificada de ciudades (hecho repetido por la práctica militar nazista durante la Segunda Guerra Mundial como “castigo” a las poblaciones que no colaboraban con el régimen), etc.</w:t>
            </w:r>
            <w:r w:rsidRPr="001B7F27">
              <w:rPr>
                <w:rFonts w:ascii="Arial" w:eastAsia="Times New Roman" w:hAnsi="Arial" w:cs="Arial"/>
                <w:color w:val="003399"/>
                <w:sz w:val="17"/>
                <w:szCs w:val="17"/>
                <w:lang w:eastAsia="es-AR"/>
              </w:rPr>
              <w:br/>
              <w:t>Crímenes contra la humanidad: Persecuciones raciales, religiosas, asesinato, exterminio, etc.4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la actuación de dichos Tribunales estuvo lejos de tener un consenso en cuanto a su desempeño. La discusión generada en torno al principio penal “nullum crimen, nulla poena sine lege”; es decir, la ausencia de delito mientras no exista una norma que lo tipifique, fue un argumento jurídico utilizado profusamente para afirmar la incompetencia de dichos Tribunales. No obstante, en los veredictos dictados por estos Tribunales se confirmó la voluntad política de la época de acatar las leyes internacionales. Más aún, “en Nuremberg y Tokio sí se exigió y se hizo efectiva de manera directa la responsabilidad internacional individual por delitos internacionales”5. En otras palabras, se establecía la responsabilidad internacional del individuo, que más que reemplazar complementa a la responsabilidad internacional del Estado como instigador del crimen cometido. En última instancia, como lo reconociera el Tribunal Militar Internacional de Nuremberg, los delitos son llevados a cabo por hombres, y no por entidades abstractas.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posterioridad a estos juicios, y seguramente bajo la influencia de los mismos, surge otro instrumento normativo que guarda estrecha relación con los delitos —más específicamente con uno de ellos— previstos en el Estatuto de la Corte Penal Internacional. Nos referimos a la Convención para la Prevención y Sanción del Delito de Genocidio, aprobada el 9 de diciembre de 1948 por la Asamblea General de las Naciones Unidas. Anticipándonos a lo que será expuesto más adelante, en cuanto a la competencia de la Corte Penal Internacional, los actos que abarcan la denominación genérica de genocidio son los mismos tanto en el Estatuto de la Corte Penal Internacional como en la Convención para la Prevención y Sanción del Delito de Genocidio.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Aunque esta Convención es bastante escueta en su redacción, resalta en ella la necesidad de que cada Estado tome las medidas legislativas necesarias para que el delito de genocidio sea juzgado “por un Tribunal competente del Estado en cuyo territorio el acto fue cometido…”6. La importancia de este instrumento internacional estriba en que las normas a ser aplicadas, la definición de los delitos —en este caso el genocidio—, y los tribunales competentes ya estaban establecidos de antemano, eliminando así, para el futuro, toda posible discusión sobre el respeto al principio penal de “nullum crimen, nulla poena sine lege”. Sin embargo, la obligación asumida por los países en el sentido de adecuar su legislación a lo establecido por la Convención fue escasamente cumplida, sea por una falta de interés real en el cumplimiento de la Convención, o, como lo expresa Benadava, por la consideración de que la legislación del Estado ya trata suficientemente el tema. De una forma u otra, el freno que representaba la necesidad del enjuiciamiento por un Tribunal interno mermó poderosamente la influencia positiva que podría haber tenido dicha Convención.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Desde entonces, la Organización de las Naciones Unidas persiguió la intención de establecer un organismo judicial internacional para perseguir este tipo de crímenes. La Asamblea General solicitó a la Comisión de Derecho Internacional el estudio de la conveniencia y posibilidad de establecer un órgano judicial internacional para el juicio de personas acusadas de genocidio, solicitud relacionada con la aplicación del art. 5 de la Convención para la Prevención y Sanción del Delito de Genocidio, especialmente en el pasaje referido a la corte penal internacional. Gracias a la conclusión favorable de la Comisión, la Asamblea General estableció un comité para la elaboración de propuestas relativas al establecimiento de dicha Corte, presentando el comité, en 1951 y 1953, dos proyectos de estatuto. Sin embargo, la Asamblea General pospuso la consideración de dicho estatuto. Más recientemente, en 1989, la Asamblea General solicitó a la Comisión de Derecho Internacional el análisis de la conveniencia del establecimiento de una corte internacional con jurisdicción sobre el tráfico de drogas.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marco de estos intentos repetidos para una jurisdicción penal internacional, se genera el conflicto en la ex - Yugoslavia. En el año 1991, cuando la antigua Yugoslavia se fragmenta en una serie de Repúblicas, estalla una mortífera lucha armada, que azota con particular crueldad a Bosnia – Herzegovina. Las causas de dicho conflicto son complejas, difíciles de resumir bajo un solo punto de vista. Hay autores que dan importancia capital sobre todo a las diferencias políticas resultantes de las querellas históricas que siempre caracterizaron a los Balcanes —“el polvorín del mundo”—. Otros autores quieren enfatizar el problema sobre todo en las diferencias religiosas —no debemos olvidar que los serbios profesan la religión cristiana ortodoxa, mientras que los croatas son católicos—. A </w:t>
            </w:r>
            <w:r w:rsidRPr="001B7F27">
              <w:rPr>
                <w:rFonts w:ascii="Arial" w:eastAsia="Times New Roman" w:hAnsi="Arial" w:cs="Arial"/>
                <w:color w:val="003399"/>
                <w:sz w:val="17"/>
                <w:szCs w:val="17"/>
                <w:lang w:eastAsia="es-AR"/>
              </w:rPr>
              <w:lastRenderedPageBreak/>
              <w:t>esto debe agregarse que, especialmente en Bosnia – Herzegovina, existe una cantidad considerable de población que profesa la religión musulmana.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Finalmente, sea cual fuere la causa del conflicto, ninguna razón justifica la comisión de crueldades contra otro ser humano. Y en la ex – Yugoslavia estas crueldades proliferaron, expresión largo tiempo reprimida de un odio entre católicos y musulmanes, entre serbios y bosnios. La televisión, gracias a las cadenas de cobertura internacional, permitió a todo el mundo ser testigo de horrores como campos de trabajo forzado, fosas comunes con cuerpos no identificados, mujeres violadas bajo la lógica “parirás un enemigo tuyo”, operaciones de “limpieza étnica”. Las Naciones Unidas, reaccionando ante esta realidad de barbarie, a través de las resoluciones del Consejo de Seguridad número 808 y 827, de fecha 22 de febrero y 25 de mayo de 1993 respectivamente, constituyen un Tribunal Penal Internacional ad-hoc para la ex – Yugoslavia.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Tres años después, en el 1994, estalla la guerra civil en Ruanda, lo que provoca otra situación penosa en donde el respeto a la persona humana es desconocido por las partes en pugna. En Ruanda, la lucha sangrienta tuvo orígenes esencialmente étnicos. Brevemente, podemos decir que la raza originaria de dicha región africana era la raza Hutu. Alrededor del Siglo XV, la tribu Tutsi invadió la región y estableció un dominio absoluto sobre los Hutu. A lo largo de todo el período de colonización bajo la égida alemana, y después, con los belgas que obtuvieron el mandato del territorio, este sistema de dominación de una tribu sobre otra se mantuvo. Con posterioridad a la Segunda Guerra Mundial este territorio fue fideicomitido a Bélgica, y a fines de la década de 1950 el antagonismo entre tribus, siempre latente, recrudeció en violencia. Estos antecedentes determinaron que, al producirse la independencia de Ruanda en el año 1962, la inestabilidad existente en el país provoque frecuentes enfrentamientos entre Tutsi y Hutu, con matanzas y violencia étnica a la orden del día. Además de ello, los Hutu arremetían políticamente con fuerza, utilizando todos los medios a su disposición para aumentar su poder político. Todo ello determinó que en el 1994, debido a la muerte del entonces presidente Juvénal Habariyama, se desate una ola de violencia étnica. El entonces secretario general de las Naciones Unidas, el egipcio Boutros Boutros Ghali, acusó al ejército de Ruanda (dominado por los Hutu) de genocidio contra los Tutsi. En los meses siguientes, la matanza de personas orilló, según cálculos de organizaciones humanitarias presentes en el teatro de los hechos, el número de 500.000 personas, en su gran mayoría Tutsi.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vez más, las Naciones Unidas tomaron cartas en el asunto, alarmadas ante la enormidad de las muertes y el odio entre seres humanos. La resolución 955, del 8 de noviembre de 1994, constituye un Tribunal Penal ad-hoc para Ruanda, inspirado y basado en los mismos principios que determinaron el establecimiento del Tribunal Penal para la ex – Yugoslavia.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opinión de Paul Tavernier7, el establecimiento de estos Tribunales Penales Internacionales para el enjuiciamiento de las atrocidades en la ex – Yugoslavia y en Ruanda fue “ampliamente improvisado”. A los efectos de sustentar esta afirmación Tavernier se basa en la ambigüedad del proceso de establecimiento de ambos Tribunales, que tiene un origen puramente unilateral (Consejo de Seguridad de las Naciones Unidas), sin base alguna en ninguna disposición de la Carta de las Naciones Unidas. Como una consecuencia lógica, surge así la ambigüedad de los Estatutos de los Tribunales, que “se refieren esencialmente a la finalidad misma de la institución de tales jurisdicciones y a la inspiración general del sistema jurídico que aplican”8. En síntesis, el profesor francés critica la unilateralidad de la atribución de la jurisdicción de los Tribunales creados, y manifiesta que dicha unilateralidad se justifica parcialmente por la necesidad de rapidez en la toma de decisiones.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autor español Pastor Ridruejo, sin embargo, presenta una actitud un poco más moderada con respecto al mismo problema. Coincide con Tavernier en el sentido del origen unilateral de dichos Tribunales, e incluso agrega a esta idea el hecho de que el Consejo de Seguridad, en este caso, actuó como un órgano legislativo. Pero también manifiesta que el Consejo de Seguridad entendió que “la situación en la antigua Yugoslavia constituía una amenaza a la paz y seguridad internacionales, lo que le permitió actuar en el marco del capítulo VII de la Carta”9.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coincidimos con el estudioso francés en que la experiencia originada en la actividad de estos dos Tribunales Penales Internacionales ha sido altamente positiva en el sentido de establecer un antecedente y un parámetro para el posterior progreso del Derecho Internacional Humanitario. La jurisprudencia de dichos tribunales, el procedimiento para la presentación de pruebas, el ordenamiento procesal, serán antecedentes importantes para la Corte Penal Internacional que, como hemos procurado demostrar, no nace de un capricho ni de una inspiración súbita, sino que es un ideal largamente acariciado al cual se ha llegado felizmente hoy, en los albores del siglo XXI. Como lo manifestara Kofi Annan, Secretario General de las Naciones Unidas: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casi medio siglo —casi durante todo el tiempo de existencia de las Naciones Unidas— la Asamblea General ha reconocido la necesidad de establecer una Corte de dicha naturaleza para perseguir y castigar a los responsables de crímenes como el genocidio. Muchos pensaron que los horrores de la Segunda Guerra Mundial — los campamentos, la crueldad, los exterminios, el Holocausto— nunca podrían pasar de nuevo. Y todavía suceden. En Camboya, en Bosnia Herzegovina, en Ruanda. Nuestro tiempo nos ha enseñado que la capacidad del hombre para el mal no conoce límites. El genocidio es ahora una palabra de nuestro tiempo, y también, una odiosa realidad que requiere una contestación histórica”.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3. Generalidades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Corte Penal Internacional es un Tribunal Internacional permanente con asiento en La Haya (Países Bajos), que juzgará a LOS INDIVIDUOS responsables de haber cometido los delitos internacionales más graves: genocidio, crímenes de guerra y crímenes de lesa humanidad. El Estatuto de la Corte Penal Internacional, en su artículo 1, define a la misma como “una institución permanente, facultada para ejercer su jurisdicción sobre personas respecto de los crímenes más graves de trascendencia internacional de conformidad con el presente Estatuto y tendrá carácter complementario de las jurisdicciones penales nacionales”.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Corte Penal Internacional fue creada por la asamblea de las Naciones Unidas que tuvo lugar en Roma, Italia, el 19 de julio de 1998, cuando 120 países decidieron establecer una Corte Penal Internacional permanente. Paraguay fue el trigésimo primer país en ratificar el Estatuto. Las previsiones de las organizaciones internacionales abocadas a la defensa de los derechos humanos, en el sentido de que la Corte Penal Internacional entraría en vigencia antes del fin del año 2002, fueron felizmente anticipadas en la realidad y así, el 11 de abril de 2002, fue depositado el instrumento de ratificación numero 60, con el cual se alcanzó la cantidad necesaria de ratificaciones para la entrada en vigencia del Estatuto de Roma, que se produjo el 1º de julio del 2002.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relación de la Corte Penal Internacional con la Organización de las Naciones Unidas se basará en un acuerdo que deberá ser aprobado por la Asamblea de los Estados Partes en el Estatuto de Roma, concluido luego por el presidente de la Corte en nombre de ésta. Debe aclararse que la Corte Penal Internacional no es un órgano de las Naciones Unidas, y tiene jurisdicción exclusivamente sobre las personas, no así sobre los Estados. Esta es la diferencia entre la Corte Internacional de Justicia y la Corte Penal Internacional.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establece en el artículo 4 del Estatuto de la Corte Penal Internacional su personalidad jurídica internacional, necesaria para el cumplimiento de sus funciones y el logro satisfactorio de sus propósitos. Así queda razonablemente garantizado el hecho de que aquellas personas que cometan los crímenes más graves contra los derechos humanos serán castigadas, aunque la jurisdicción nacional no pueda –o no quiera– hacerlo.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Competencia.10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Estatuto de Roma establece los crímenes de competencia de la Corte Penal Internacional en sus artículos 5 al 8. La competencia de la Corte, según el artículo 5, “se limitará a los crímenes más graves de trascendencia para la comunidad internacional en su conjunto”. Posteriormente se individualizan dichos crímenes, que son:</w:t>
            </w:r>
            <w:r w:rsidRPr="001B7F27">
              <w:rPr>
                <w:rFonts w:ascii="Arial" w:eastAsia="Times New Roman" w:hAnsi="Arial" w:cs="Arial"/>
                <w:color w:val="003399"/>
                <w:sz w:val="17"/>
                <w:szCs w:val="17"/>
                <w:lang w:eastAsia="es-AR"/>
              </w:rPr>
              <w:br/>
              <w:t>El crimen de genocidio.</w:t>
            </w:r>
            <w:r w:rsidRPr="001B7F27">
              <w:rPr>
                <w:rFonts w:ascii="Arial" w:eastAsia="Times New Roman" w:hAnsi="Arial" w:cs="Arial"/>
                <w:color w:val="003399"/>
                <w:sz w:val="17"/>
                <w:szCs w:val="17"/>
                <w:lang w:eastAsia="es-AR"/>
              </w:rPr>
              <w:br/>
              <w:t>Los crímenes de lesa humanidad.</w:t>
            </w:r>
            <w:r w:rsidRPr="001B7F27">
              <w:rPr>
                <w:rFonts w:ascii="Arial" w:eastAsia="Times New Roman" w:hAnsi="Arial" w:cs="Arial"/>
                <w:color w:val="003399"/>
                <w:sz w:val="17"/>
                <w:szCs w:val="17"/>
                <w:lang w:eastAsia="es-AR"/>
              </w:rPr>
              <w:br/>
              <w:t>Los crímenes de guerra.</w:t>
            </w:r>
            <w:r w:rsidRPr="001B7F27">
              <w:rPr>
                <w:rFonts w:ascii="Arial" w:eastAsia="Times New Roman" w:hAnsi="Arial" w:cs="Arial"/>
                <w:color w:val="003399"/>
                <w:sz w:val="17"/>
                <w:szCs w:val="17"/>
                <w:lang w:eastAsia="es-AR"/>
              </w:rPr>
              <w:br/>
              <w:t>El crimen de agresión.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Respecto del crimen de agresión, la competencia se halla sometida a la aprobación de una disposición de conformidad con los artículos 121 y 122, relativos a las enmiendas y a las disposiciones de carácter institucional en relación al Estatuto de Roma.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Hemos tenido la oportunidad de asistir a una charla organizada por la conocida organización Amnistía Internacional, dictada en el mes de agosto del año 2001, cuyo tema versaba sobre la implementación efectiva de la Corte Penal Internacional. Expertos de Argentina, Perú y Estados Unidos ilustraron algunos puntos resaltantes del Estatuto de Roma, entre los que se cuenta la competencia del Tribunal.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Sostuvieron los expositores que la enumeración de los crímenes y la definición de los mismos contenida en el Estatuto de Roma lleva a una importante conclusión: La competencia de la Corte Penal Internacional se da respecto de los crímenes mencionados en el Estatuto, que reúnan la característica fundamental de constituir un ataque generalizado contra la población civil. En otras palabras, los crímenes individuales cometidos por las personas permanecen bajo la jurisdicción penal del Estado, activándose la competencia de la Corte solamente en aquellos casos en que la violación a los derechos humanos alcance una magnitud global. Sostienen esta última afirmación mencionando que, en un sentido amplio y omnicomprensivo, todo atentado contra la vida humana puede –y debe– ser considerado como violatorio de los derechos fundamentales del hombre; pero solamente aquellos crímenes de esta índole cometidos con un carácter global serían juzgados ante la Corte Penal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respecto a la imputación de estos crímenes ––respondiendo a la pregunta ¿quiénes podrán ser juzgados por la Corte Penal Internacional?––, ésta se hará únicamente sobre personas, de conformidad a lo establecido en el artículo 1 del Estatuto de Roma. Esta característica convierte a la Corte Penal Internacional en complementaria de la Corte Internacional de Justicia, puesto que, subsidiariamente a la responsabilidad de los Estados por el eventual fomento de violaciones a los Derechos Humanos, la responsabilidad personal de aquellos que efectivamente realizan el acto material será también imputable desde la entrada en vigor del Estatuto de Roma.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Una cuestión surgida con fuerza durante la charla es la característica “independiente” de la Corte Penal Internacional. En efecto, se insistió bastante en enfatizar el hecho de que la Corte Penal Internacional no constituye en modo alguno un Tribunal de alzada o de apelación en cuanto a la jurisdicción nacional. Aquella persona que, habiendo sido ya juzgada o que esté sometida a un proceso penal en virtud de los crímenes que se prevén en el Estatuto, no podrá ser juzgada por la Corte Penal Internacional. Con el mismo criterio, aquella persona que ha sido sobreseída en juicio de las imputaciones en su contra con relación a la comisión de estos crímenes, no podrá ser juzgada nuevamente por ellos ante la Corte Penal Internacional. Sin embargo, y en aparente contradicción con lo expuesto hasta ahora, la Corte Penal Internacional SI podrá juzgar a aquellas personas sobreseídas en virtud de un proceso evidentemente fraguado o predispuesto de tal manera a obtener una inmunidad ante la posibilidad de ser juzgado internacionalmente. Los expositores han basado su afirmación en el hecho de que dicho juicio no puede ser considerado como tal, ya que desde el mismo inicio de dicho juicio la parte acusante no habría tenido la mínima posibilidad de que se consideren sus alegatos en su real dimensión. A pesar de todo ello, consideramos que en la aplicación práctica de la jurisdicción de la Corte Penal Internacional, este principio podrá crear numerosos problemas, dado que implicaría un avasallamiento de la jurisdicción interna del Estado que se vea afectado por esta situación.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Pasaremos a continuación a hacer un breve análisis de los crímenes comprendidos en el área de competencia de la Corte Penal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4.1. El genocidio.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hemos mencionado al hacer referencia a los antecedentes de la Corte Penal Internacional, aquellos actos considerados como genocidio en el Estatuto de Roma son los mismos que son considerados como genocidio en la Convención para la Prevención y Sanción del Delito de Genocidio, del año 194811. El artículo 6º de la citada Convención establece el enjuiciamiento de las personas por un tribunal interno del Estado en cuyo territorio fue cometida la violación, … “o ante la corte penal internacional que sea competente respecto a aquellas de las Partes Contratantes que hayan reconocido su jurisdicción”12.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redacción del artículo arriba citado nos coloca ante una evidencia palpable (de una claridad pocas veces vista en el Derecho Internacional, y doblemente plausible, por manifestarse en un tema tan sensible para la humanidad) de que, al menos en cuanto a este crimen específico, no nos hallamos ante una innovación sino ante un progreso enorme —por no decir perfeccionamiento— en el ámbito del enjuiciamiento del genocidio. La Convención del año 1948 dejó abierta la posibilidad de que una Corte Internacional tenga competencia en dicho ámbito, lo cual se cristalizó en el Estatuto de Roma, que al consignar de manera idéntica el concepto de genocidio consignado en la Convención, atribuye la competencia de su enjuiciamiento a la Corte Penal Internacional. Por lo tanto, podemos decir que el Estatuto de Roma viene a complementar maravillosamente la Convención del 1948, estableciéndose la Corte Penal Internacional como garante del enjuiciamiento a aquellas personas responsables de la comisión de dicho delito. Sin embargo, queda aún por resolver la dificultad que presenta la inmunidad que confiere al individuo un eventual sobreseimiento ante los tribunales nacionales y la consiguiente incompetencia de la Corte Penal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4.2. Crímenes de lesa humanidad.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crímenes de lesa humanidad se prevén en el artículo 7 del Estatuto de Roma, y consisten en la comisión de asesinato, exterminio, esclavitud, deportación o traslado forzoso de población, violación y otros crímenes de índole sexual, persecución de un grupo minoritario con identidad propia, desaparición forzada de personas, apartheid y otros actos inhumanos de carácter similar.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nuestro entender, en este artículo se ha logrado un gran progreso en cuanto a la determinación individual y específica de los crímenes de lesa humanidad, así como de las circunstancias y hechos que configuran estos delitos. En el inciso 2 del artículo 7 se encuentran las definiciones detalladas de cada uno de los casos previstos en el inciso anterior. A pesar de iniciarse con la redacción “a los efectos del párrafo anterior”, lo cual no nos da un concepto general sino empírico, la definición es de una gran importancia para la protección internacional de los Derechos Humanos, puesto que se determinan claramente los hechos que pueden dar lugar a la imputabilidad por los crímenes de lesa humanidad.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por “ataque contra una población civil”, se entiende una conducta que lleve aparejada la realización de cualquiera de los actos mencionados en el inciso anterior (asesinato, exterminio, esclavitud, etc.), realizados contra una población civil, y relacionada con la política de un Estado que tenga como fin promover la política de realización de dichos actos. Como vemos, la comisión del delito se relaciona con la presencia de un Estado que avale dichos hechos ilícitos, de donde se infiere una vez más la complementariedad de la Corte Penal Internacional, que podrá juzgar al individuo, y la Corte Internacional de Justicia, que podrá juzgar al Estado instigador.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“exterminio” comprende la imposición intencional de condiciones de vida, la privación de acceder a medicamentos y/o alimentos, con la intención de ocasionar la destrucción de parte de una población.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Por “esclavitud” se entiende el ejercicio de los derechos de propiedad sobre una persona. Se incluye dentro de dicha figura el tráfico de personas, particularmente mujeres y niños. Es de destacar el carácter romanista de esta definición, dado que en Roma era considerado esclavo aquel sujeto a la potestad del amo “dominica potestas”, quien tenía el derecho de propiedad sobre la persona sometida a esclavitud.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hablar de “deportación o traslado forzoso de población”, se entiende el desplazamiento de personas de la zona en la cual se hallan legítimamente, sin motivos autorizados por el Derecho Internacional.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“tortura” es definida como la producción intencional de dolor y sufrimientos graves a una persona que el acusado tenga bajo su custodia o control. En este punto, el Estatuto hace una excepción al considerar que “no se entenderá por tortura el dolor o los sufrimientos que se deriven únicamente de sanciones lícitas o que sean consecuencia normal o fortuita de ellas”13. De acuerdo a nuestra consideración, esta excepción puede dar lugar a que el Estado admita penas que conlleven dolor físico, o de cualquier otra manera impliquen un menoscabo a la dignidad humana, con lo que quedaría librada la persona ejecutora de la jurisdicción de la Corte Penal Internacional. Sin embargo, suponemos que dicha excepción se debe al hecho de que en ese supuesto será el Estado como ente el responsable de la violación a los Derechos Humanos, ya que el configurar en una norma a la tortura ––o comportamientos que conduzcan a ella–– como sanción válida entrañaría una violación de ese Estado a convenios internacionales sobre la materia, y, como ya lo expresamos, los Estados no pueden ser juzgados por la Corte Penal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entiende por “embarazo forzado” el confinamiento ilícito de una mujer a la que se la ha dejado embarazada por la fuerza, con la intención de modificar la composición étnica de una población o de cometer otras violaciones graves del Derecho Internacional. Por “persecución”, se entiende la situación por la cual un individuo es privado intencionalmente del goce de derechos fundamentales contraviniendo el Derecho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crimen de “apartheid” comprende la realización de actos inhumanos tendientes al establecimiento de un régimen de opresión y dominación sistemática de un grupo racial sobre otro. Mientras que por “desaparición forzada de personas” se entiende la aprehensión, arresto o detención de personas por un Estado u organización política, o con la aquiescencia de dichas instituciones, seguida de la negativa a proporcionar información sobre el paradero o la causa de la privación de libertad de estas personas.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4.3. Crímenes de guerra.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crímenes de guerra se hallan tipificados en el artículo 8 del Estatuto de Roma. Sin embargo, es éste el crimen más delicado de configurar, debido a que, por la misma naturaleza de la guerra, las acciones desarrolladas en su curso siempre conllevarán, en mayor o menor escala, una disminución del respeto al factor vida considerado individualmente. Es por ello que es muy difícil distinguir entre actos “normales” de guerra y los crímenes de guerra. Sin embargo, el esfuerzo realizado para plasmar en el Estatuto de la Corte Penal Internacional una tipificación que asegure el mayor respeto posible a los Derechos Humanos parece haberse alcanzado satisfactoriamente.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primer lugar, se aclara en el mencionado artículo que la Corte tendrá competencia con respecto a estos crímenes cuando los mismos se realicen como parte de una política o en gran escala. Queda pues excluida la violación personal de los Derechos Humanos que el combatiente individual realice “motu propio”, y cuya sanción vemos como muy difícil, porque consideramos poco probable que el Estado someta a jurisdicción penal interna a aquel combatiente que, por ejemplo, mate o hiera a traición a personas pertenecientes al ejército enemigo (situación prevista en el artículo 8, inciso 2, párrafo b, ítem XI). Posteriormente el Estatuto aclara el alcance del término “crimen de guerra”, abarcando de esta manera una gran cantidad de situaciones previstas en los Convenios de Ginebra del 12 de agosto de 1949 y sus Protocolos Adicionales del 8 de junio de 1977, como por ejemplo matar intencionalmente, tomar rehenes, someter a tortura al enemigo, etc. Luego amplía ese espectro agregando otros hechos que serán pasibles de ser denunciados ante la Corte Penal Internacional, como ser los ataques a la población civil, el ataque a ciudades que no sean objetivos militares, los ataques a centros religiosos que no sean objetivos militares, el empleo de armas letales de amplio espectro y de destrucción masiva (gases asfixiantes, tóxicos, veneno,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minuciosidad con la que se prevén en el Estatuto de Roma los crímenes de guerra constituye, a nuestro modo de ver, un avance importante en el sentido de limitar las atrocidades cometidas durante un conflicto armado. Esta tipificación minuciosa ayudará sin dudas a la Corte Penal Internacional a juzgar, amparada en su Estatuto, aquellas violaciones de los Derechos Humanos en tiempo de guerra, que durante tanto tiempo a lo largo de la historia se consideraron “normales”, o incluso inherentes a cualquier conflicto bélico. Además, debemos tener presente el hecho de que el Estatuto de Roma consigna como crímenes de guerra a las infracciones graves de los Convenios de Ginebra. Sabemos que el sistema de represión de infracciones de dichos convenios está basado justamente en la distinción entre “infracciones graves” y aquéllas que carecen de este carácter, teniendo las primeras un régimen de sanción más severo. Entonces, es lógico suponer que la Corte deberá recurrir a estos convenios para determinar la sanción a ser aplicada al infractor. Por lo tanto, podemos concluir que el Estatuto de Roma complementa y mejora el sistema de sanciones establecido en los Convenios de Ginebra, por lo que interactúa con estos y marca un progreso indiscutible del Derecho Internacional Humanitario.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5. Organización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artículo 34 del Estatuto de Roma establece los órganos que conforman a la Corte Penal Internacional, los cuales se estudiarán por separado en apartados posteriores. Todos los magistrados afectos a la Corte Penal Internacional se dedicarán a sus funciones en forma exclusiva, recibiendo por ello sueldos, estipendios o dietas.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Corte Penal Internacional estará compuesta por dieciocho magistrados, aunque a pedido de la Presidencia ese número puede aumentar, previa aprobación de la moción por los dos tercios de la Asamblea de los Estados Partes, que será convocada a tal efecto. Los magistrados elegidos deberán ser de alta solvencia moral, versados en derecho penal y derecho procesal penal, o en materias de derecho internacional, dando énfasis especial a las áreas del Derecho Internacional Humanitario. Aparte de ello, la Asamblea de los Estados Partes deberá velar porque en la Corte se encuentren representados los principales sistemas jurídicos del mundo, así como una representación equilibrada de magistrados del sexo masculino y femenino. Deberá preverse también la presencia de magistrados especializados en temas concretos como ser los relativos a la violencia contra mujeres o niños.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magistrados serán elegidos por un período de nueve años, y no podrán ser reelegidos. No obstante, un magistrado que entiende en un caso determinado seguirá en funciones, aún cuando ello implique una extensión del período de nueve años, con la finalidad de llevar a término el caso que haya comenzado a conocer en el ejercicio de sus funciones, ya sea en una sala de Apelaciones o en una sala de Primera Instancia.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magistrados serán completamente independientes en el ejercicio de sus funciones, por lo que no podrán realizar ninguna otra actividad que obstaculice el normal desempeño de sus funciones en la Corte Penal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5.1. La presidencia.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Presidente, el Vicepresidente primero y el Vicepresidente segundo se eligen por mayoría absoluta de los magistrados que integran la Corte Penal Internacional. Desempeñan el cargo por el lapso de tres años, pudiendo ser reelegidos una vez. El Vicepresidente primero sustituirá al Presidente cuando éste se halle imposibilitado de ejercer sus funciones, y el Vicepresidente segundo hará lo propio respecto del Vicepresidente primero y del Presidente, cuando no pueda sustituirlo el Vicepresidente primero.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funciones de la presidencia, enumeradas en el artículo 38 del Estatuto de Roma, se resumen en la correcta administración de la Corte (excluyendo de esta facultad la administración de la Fiscalía), y las demás funciones que el Estatuto le confiere. Del atento análisis del Estatuto surge que la Presidencia es el órgano administrativo de la Corte, y por lo tanto aquellos individuos que ostenten dicho cargo representarán a la misma con la autoridad que el Estatuto les confiere.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5.2. Sección de cuestiones preliminares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sección deberá estar compuesta por no menos de seis magistrados. El desempeño de las funciones correspondientes a la Sala de Cuestiones Preliminares corresponderá a tres magistrados de la Sección de Cuestiones Preliminares o incluso por uno solo de dichos magistrados, de conformidad al procedimiento establecido en el Estatuto.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Sala de Cuestiones Preliminares puede, a petición del Fiscal, dictar las providencias y órdenes necesarias a los fines de una investigación. Además, podrá asegurar la protección y el respeto de la intimidad de la víctima y de los testigos, la preservación de pruebas, etc. También puede autorizar al Fiscal a adoptar medidas de investigación determinadas en el territorio de un Estado parte en caso de que no se haya obtenido la cooperación de éste. Asimismo está facultada a recabar la cooperación de los Estados para adoptar medidas cautelares con objeto de ejecutar un decomiso que beneficie a las víctimas de los crímenes.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cuanto a las funciones procesales de la Sala, podrá dictar, a solicitud del Fiscal, una orden de detención contra una persona si estuviere convencida de que hay motivo razonable para creer que se ha cometido un crimen de la competencia de la Corte, o cuando considere que la detención se vuelve necesaria para asegurar la comparecencia de la persona ante la Corte o evitar que dicha persona siga cometiendo crímenes de competencia de la Corte Penal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vez que la persona imputada haya sido entregada a la Corte, la Sala de Cuestiones Preliminares se asegurará de que dicha persona sea informada de los crímenes que se le imputan, así como también velará por que la detención en espera de juicio no se demore excesivamente.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5.3. Sección de primera instancia.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Sección de Primera Instancia estará compuesta por no menos de seis magistrados. Deberá estar integrada predominantemente por magistrados que tengan experiencia en el procedimiento penal. Las funciones de la Sala de </w:t>
            </w:r>
            <w:r w:rsidRPr="001B7F27">
              <w:rPr>
                <w:rFonts w:ascii="Arial" w:eastAsia="Times New Roman" w:hAnsi="Arial" w:cs="Arial"/>
                <w:color w:val="003399"/>
                <w:sz w:val="17"/>
                <w:szCs w:val="17"/>
                <w:lang w:eastAsia="es-AR"/>
              </w:rPr>
              <w:lastRenderedPageBreak/>
              <w:t xml:space="preserve">Primera Instancia serán realizadas por tres magistrados de la Sección de Primera Instancia.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artículo 64 del Estatuto de Roma enuncia las facultades de la Sala de Primera Instancia, la cual velará por la rapidez del juicio y el respeto de los derechos del acusado, así como por la protección indispensable para las víctimas y los testigos. Además de ello, celebrará consultas con las partes y adoptará los procedimientos necesarios para la correcta substanciación del juicio.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fase de desarrollo del juicio, la Sala de Primera Instancia podrá ordenar la comparecencia y declaración de los testigos, así como la presentación de pruebas y la adopción de las medidas necesarias para proteger información confidencial. Además, la Sala de Primera Instancia tiene la facultad de decidir sobre la pertinencia de las pruebas presentadas y mantener el orden en las audiencias. Los magistrados que integran la Sala deberán estar presentes en cada fase del juicio.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Sala de Primera Instancia, una vez evaluadas las pruebas, dictará sentencia por escrito, fundamentando el fallo en base a la evaluación de las pruebas presentadas y considerando otras circunstancias que puedan haberse presentado en juicio.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5.4. Sección de Apelaciones.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Sección de Apelaciones estará compuesta por el Presidente y otros cuatro magistrados. La Sala de Apelaciones actuará solamente a instancia de parte, es decir, cuando fuera apelada una sentencia dictada por la Sala de Primera Instancia, apelación que puede provenir tanto del condenado como del Fiscal. Las causas por las cuales podrá apelarse el fallo —ya sea condenatorio o absolutorio— o la pena están establecidas en el artículo 81, pudiendo apelar el fiscal por vicios de procedimiento, error de hecho o de derecho; mientras que el condenado (o el fiscal en su representación), además de esas posibilidades, también puede apelar por cualquier otro motivo que afecte a la justicia o regularidad del proceso o fallo.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Tiene las mismas facultades que la Sala de Primera Instancia, a los efectos de las reglas procesales a ser aplicadas. La Sala de Apelaciones podrá revocar el fallo o la pena, y decretar la celebración de un nuevo juicio en otra Sala de Primera Instancia. Asimismo, si la Sala de Apelaciones considera que la relación entre el crimen y la pena es desproporcionada, podrá modificar ésta última.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5.5. La Fiscalía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funcionamiento de la Fiscalía está reglamentado en el artículo 42 del Estatuto. Este órgano actuará en forma independiente de la Corte, y está encargada de recibir denuncias corroboradas sobre crímenes de competencia de la Corte para examinarlas, realizar investigaciones o ejercer la acción penal ante la Corte. Reafirmando la autonomía de la Fiscalía, se establece que los miembros de la Fiscalía no solicitarán ni cumplirán instrucciones de fuente ajena a la Corte.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Fiscalía estará dirigida por el Fiscal, quien tiene plena autoridad a los efectos de la administración de la Fiscalía. El Fiscal contará con la ayuda de Fiscales adjuntos, que no pueden ser de la misma nacionalidad que el Fiscal. Todos ellos deberán gozar de prestigio moral, alto nivel de competencia en la substanciación de causas penales. El Fiscal será elegido por votación secreta y por mayoría absoluta de la Asamblea de los Estados Partes, mientras que los Fiscales adjuntos serán elegidos de la misma forma, partiendo de una lista de candidatos acercada por el Fiscal. Todos ellos durarán nueve años en sus funciones, no pudiendo ser reelegidos.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cuanto al papel desempeñado en el proceso por el Fiscal, éste es sin dudas muy importante. Es el Fiscal quien inicia la investigación tendiente a comprobar los hechos denunciados, salvo que determine que no existe fundamento razonable para proceder a dicha investigación. Así, el Fiscal puede ampliar la investigación a todos los hechos y pruebas pertinentes a los fines de determinación de la responsabilidad penal, adoptando medidas adecuadas para la investigación y enjuiciamiento de los crímenes de competencia de la Corte Penal Internacional. Además de ello, el Fiscal está facultado a reunir y examinar pruebas, hacer comparecer a las personas objeto de investigación y a los testigos, solicitar la cooperación de un Estado, entre otras atribuciones. Será el Fiscal quien presentará las pruebas obtenidas ante la Sala de Primera Instancia, y es él quien pide el enjuiciamiento basado en los resultados de su investigación. También cabe destacar que el Fiscal, como lo hemos mencionado en el apartado anterior, tiene la posibilidad de apelar la sentencia o pena impuesta al acusado.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5.6. La Secretaría.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funcionamiento de la Secretaría está regulado por el artículo 43 del Estatuto de Roma. Este órgano de la Corte Penal Internacional estará dirigido por un Secretario, el principal funcionario administrativo de la Corte. Está supervisado en el ejercicio de sus funciones por la autoridad del Presidente de la Corte Penal Internacional. Deberá ser una persona con alto prestigio moral, así como un excelente nivel de competencia. Será elegido por votación secreta por mayoría absoluta, de acuerdo a las recomendaciones formuladas por la Asamblea de los Estados Partes, que podrá elegir, de ser necesario, un Secretario adjunto, siguiendo para esta elección las mismas </w:t>
            </w:r>
            <w:r w:rsidRPr="001B7F27">
              <w:rPr>
                <w:rFonts w:ascii="Arial" w:eastAsia="Times New Roman" w:hAnsi="Arial" w:cs="Arial"/>
                <w:color w:val="003399"/>
                <w:sz w:val="17"/>
                <w:szCs w:val="17"/>
                <w:lang w:eastAsia="es-AR"/>
              </w:rPr>
              <w:lastRenderedPageBreak/>
              <w:t>formalidades. El Secretario durará cinco años en sus funciones, pudiendo ser reelegido una sola vez.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Secretario no es parte activa del ordenamiento procesal, a diferencia de los órganos que hasta aquí habíamos visto. Sin embargo, figura entre sus obligaciones la de constituir una Dependencia de Víctimas y Testigos, que adoptará medidas de protección a los testigos y víctimas que se presenten ante la Corte, contando a los efectos de un mejor cumplimiento de esta labor con la colaboración de la Fiscalía. Esta Dependencia deberá contar con personal especializado para el tratamiento de personas con traumas, incluidos aquéllos que se originan por delitos de índole sexual.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Secretaría tiene a su cargo todos los aspectos no judiciales del funcionamiento de la Corte, y está obligada a prestar a ésta los servicios necesarios para un funcionamiento satisfactorio de la misma.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Conclusiones y opinión.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primer aspecto positivo que salta a la vista –y que aplaudimos– es la tipificación precisa de los crímenes sobre los cuales tiene jurisdicción la Corte Penal Internacional. Los crímenes de lesa humanidad, genocidio y crímenes de guerra, que eran frecuentemente nombrados y discutidos genéricamente, tienen ahora una delimitación conceptual precisa en el Estatuto de Roma, delimitación que tiene la virtud añadida de ser perfectamente complementaria con las definiciones establecidas en instrumentos internacionales con referencia a los mismos temas, lo que permite un control sobre la comisión de estos hechos en el futuro. No es secundario el hecho de que dicha delimitación pueda actuar psicológicamente sobre las personas con posibilidades de cometer dichos crímenes, debido a la minuciosa reglamentación existente en el Estatuto.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se hace necesario un análisis de las causas de la comisión de los crímenes tipificados en el Estatuto de Roma, para poder desarrollar, a partir de dicho análisis, un plan preventivo que disuada a los potenciales violadores de dichas normas de su acción. Armada con este análisis, la Corte Penal Internacional podría tener elementos de juicio más contundentes y orientadores a la hora de juzgar a los criminales sometidos a su jurisdicción. Sin pretender hacer un alarde de erudición, suponemos que una de las principales causas de la realización de dichos crímenes es la presión indirecta que realiza el Estado sobre la conducta del individuo, relacionada con la ejecución práctica de determinada política con respecto a las minorías, sea cual fuere su clase. Entonces, consideramos como una carencia del Derecho Internacional la ausencia de normas que protejan adecuadamente al soldado o al agente del Estado cuando éstos se vean obligados a desobedecer la orden impartida por su superior cuando ésta implique un delito. Se vuelve entonces necesario, para complementar la obra iniciada con el Estatuto de Roma, la redacción de un instrumento internacional vinculante para las partes que subsane esta laguna.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expresiones vertidas más arriba nos llevaron específicamente hacia el tema de las órdenes impartidas a un individuo, en el sentido de realizar un acto ilícito y penado por la Corte Penal Internacional. Varios estudiosos e internacionalistas han criticado ásperamente, en cuanto a este punto, el artículo 33 del Estatuto de Roma, en el cual establece la exención de responsabilidad para aquel funcionario que, según el inciso a), “estuviere obligado por ley a obedecer órdenes emitidas por el gobierno o el superior de que se trate”14. Militarmente hablando, y refiriéndonos específicamente a la situación de aquellas personas que se encuentran encuadradas en un ejército u otra institución dependiente del Estado y de índole militar, el juramento, las órdenes y la obediencia hacen a la existencia y funcionalidad de todos los ejércitos del mundo. Esta obediencia incondicional puede ser explotada por las intenciones delictivas, ya sea con fines políticos o militares, de “los que mandan”. Ejemplos del uso y abuso de la obediencia incondicional los tenemos a montones en la historia, baste recordar a Adolfo Hitler como una elocuente muestra de lo que puede ser el resultado de la “fidelidad incondicional”. Atendiendo a lo expuesto, consideramos que el artículo 33 del Estatuto de Roma constituye un freno poderoso a la competencia de la Corte, ya que la parte acusada siempre podrá alegar que se vio obligada a obedecer las órdenes emitidas por el gobierno, con lo que quedará a cubierto de una sanción, dado que los gobiernos no pueden ser juzgados por la Corte Penal Internacional, como repetidas veces lo hemos manifestado.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paso dado en favor de la humanidad con la creación de la Corte Penal Internacional es notable, y confiamos en que pueda ser un instrumento útil para alcanzar la paz mundial durante tanto tiempo anhelada. Sin embargo, para que ese propósito pueda ser alcanzado, el Estatuto de Roma debe ser respetado, y creemos que ello se dará en la medida en que se demuestre que su aplicación es severa y los castigos reales. Además de ello, es necesario que este instrumento internacional se divulgue mundialmente y a gran escala, como un medio para que las propias poblaciones del mundo, basadas en la conciencia que brinda la información, sean eficaces agentes que aseguren la eficacia y el cumplimiento del Estatuto de Roma.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indudable que la creación de la Corte Penal Internacional constituye un hito en lo que se refiere a los Derechos Humanos, y es nuestro deseo que constituya el punto de partida para una observancia real, efectiva y por sobre todo duradera de los mismos. Que las dolorosas experiencias del pasado nos sirvan de lección para el presente, y que este presente promisorio nos depare un futuro de paz y concordia entre todos los seres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Apuntes tomados en el Seminario Internacional sobre la implementación efectiva de la Corte Penal Internacional, realizado en Asunción, Paraguay el 22 de agosto de 2001 y organizado por Amnistía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BENADAVA, SANTIAGO. Derecho Internacional Público. Santiago de Chile, Editorial Jurídica de Chile, 4ª ed, 1993, 433 pags.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Enciclopedia Microsoft Encarta 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Gaceta Oficial de la República del Paraguay. Numero 81 (bis), 27 de abril de 2001. 36 pags.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LANGER, WILLIAM L. Enciclopedia de la Historia del Mundo. Buenos Aires, Sopena, 4ª ed, 1957, Volumen II, 733 pags.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NAPOLITANO, LEARCO. Le varianti nere del razzismo. En: Il Carabiniere, julio 1995.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Página Web Oficial de la Corte Penal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PASTOR RIDRUEJO, JOSÉ A. Curso de Derecho Internacional Público y Organizaciones Internacionales. Madrid, Tecnos, 6ª ed, 1996, 861 pags.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TAVERNIER, PAUL. La experiencia de los Tribunales Penales Internacionales para ex Yugoslavia y Ruanda. Artículo publicado en la Revista Internacional de la Cruz Roja número 144, páginas 645-653.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TOSTI, MASSIMO. Serie: I nuovi stati: Triste Croazia, ancora ferita. Serbia, lo Stato che non c’è. Morire per la Bosnia? En: Il Carabiniere, marzo, abril, mayo 1993.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ZULLINO, PIETRO. Che cosa sappiamo della Serbia?. En: Il Carabiniere, mayo 1994.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8"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8" w:name="8"/>
            <w:bookmarkEnd w:id="8"/>
            <w:r w:rsidRPr="001B7F27">
              <w:rPr>
                <w:rFonts w:ascii="Arial" w:eastAsia="Times New Roman" w:hAnsi="Arial" w:cs="Arial"/>
                <w:b/>
                <w:bCs/>
                <w:color w:val="009933"/>
                <w:sz w:val="20"/>
                <w:szCs w:val="20"/>
                <w:lang w:eastAsia="es-AR"/>
              </w:rPr>
              <w:t>"Crítica Jurídica a la Ley 1.626/00 'De la Función Pública'"</w:t>
            </w:r>
            <w:r w:rsidRPr="001B7F27">
              <w:rPr>
                <w:rFonts w:ascii="Arial" w:eastAsia="Times New Roman" w:hAnsi="Arial" w:cs="Arial"/>
                <w:color w:val="003399"/>
                <w:sz w:val="17"/>
                <w:szCs w:val="17"/>
                <w:lang w:eastAsia="es-AR"/>
              </w:rPr>
              <w:br/>
              <w:t>Jorge Barboza Franco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administrativo</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49"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sencilla monografía procura dilucidar de manera clara, concreta y precisa algunas contradicciones, errores y hasta situaciones jurídicas y judiciales inaplicables e inejecutables por generar un daño o perjuicio a una de las partes, el Estado o el Funcionario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Previamente a su sanción, el Proyecto de esta Ley fue sumamente discutido y objetado. La cronología de los trámites sucedidos en el Congreso Nacional y el Poder Ejecutivo, se detallan de la siguiente manera: la Cámara de Diputados lo aprueba en fecha cinco de octubre de dos mil, por su parte, la Cámara de Senadores hace lo mismo en fecha nueve de noviembre el mismo año; enviado el Proyecto al Poder Ejecutivo, éste lo objeta parcialmente, volviendo el proyecto a la Cámara de origen (Diputados) que la aprueba al igual que la Cámara de Senadores, en virtud al art. 208 de la Constitución Nacional, sancionándose de esa forma esta Ley en fecha veinte y siete de diciembre de dos mil.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En uso de mi aún inexperto sentido crítico en materia legislativa, de igual manera pude corroborar las fuertes acusaciones que en aquel entonces realizaba la prensa hacia la nueva Ley sancionada y el malestar de las organizaciones de trabajadores del estado. Pero, discerniendo en un mar de subjetividades mezcladas con sentimientos nostálgicos en la despedida de la prebendaria Ley 200/70, centré el punto de crítica de la nueva Ley en una notable contradicción frente al art. 102 de la Constitución Nacional, el cual expresa lo siguiente, De los derechos laborales de los funcionarios y de los empleados públicos (Título). Los funcionarios y los empleados públicos gozan de los derechos establecidos en esta Constitución en la sección de derechos laborales, en un régimen uniforme para las distintas carreras dentro de los límites establecidos por la ley y con resguardo de los derechos adquiridos. Como es sabido por todos las normas jurídicas laborales son de orden público, debido a su obligatoriedad, irrenunciabilidad, por su aplicación de oficio, por estar sometidas al interés general, además de tratarse de un Derecho Social, nacido en luchas de clases, en que las inferiores reclamaban un mejor trato, un reconocimiento humano y monetario hacia la labor que desarrollaban, todo esto con un tinte Marxista que buscaba la intervención del Estado ante tales injusticias; una rama diferenciada por su carácter tuitivo, ya que no es igual al Derecho Civil en que las partes son plenamente dueñas de sus relaciones contractuales, por ser un derecho eminentemente privado. Por ello afirmamos que dicho carácter (tuitivo), protege la desigualdad económica y social existente entre el trabajadores y patrones, y de éstos con el Estado. Es decir, y en relación con la última parte (subrayada) del art. 102 de la Constitución Nacional, no es jurídicamente aceptable la extinción de derechos previamente adquiridos por los trabajadores; lo establece nuestra Ley Madre.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Más allá de toda la lógica jurídica que se implantó en la Comisión redactora de la Convención Nacional Constituyente, de modo a evitar posibles lagunas jurídicas o interpretaciones adversas, debemos ubicarnos del lado del Funcionario Público, sin prejuicios, observando meramente tal institución. No existe uniformidad de criterios entre los Doctrinarios del Derecho Laboral acerca de la naturaleza jurídica de la relación que existe entre el agente del Estado y la Administración. En mi opinión, primero debemos separar claramente los cargos de confianza de los cargos comunes, debido a que los citados primeramente, poseen un tratamiento y carácter especial en virtud a las informaciones y funciones desarrolladas, que requieren una plena confianza entre superiores e inferiores; ahora podemos saber que el funcionario público común es similar a cualquier otro trabajador del sector privado, con las diferencias que éste tiene como patrón al Estado, su salario se detalla en el Presupuesto General de la Nación, su nombramiento, ascenso o despido obedecen a un Decreto o Resolución Estatal y varias otras diferencias formales; pero de fondo, el funcionario público cumple un horario, obedece las instrucciones de un superior, posee una tarea determinada que desarrollar, goza de vacaciones, aguinaldo, bonificación familiar, entre otros beneficios, es decir, existe una enorme similitud entre trabajadores públicos y privados. Ahora si observamos en un simple análisis económico – social, el funcionario público percibe un salario y otros beneficios monetarios legales, similares a los del sector privado, los cuales se hallan comprendidos dentro del presupuesto privado de cada trabajador, en los rubros típicos familiares como alimentación, salud, educación, recreación, etc. Entonces, notamos que si no respetáramos los derechos adquiridos por los trabajadores y elimináramos algún derecho, sus ingresos contemplados previamente, o su salud, decaerán con su nivel de vida familiar, desencadenando una mala alimentación, bajo nivel de control de la salud, educación de baja calidad y una eliminación de actividades recreativas, lo que nos sumergiría en un malestar social, fin no perseguido por el Estado.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mi opinión, en nuestro país, la solución a los inmensos déficit fiscales acarreados y agrandados mes a mes, año tras año, no proviene de Leyes con un leve tinte flexibilista que afecten los derechos de clases trabajadoras, sino que la solución a ese problema depende de una verdadera voluntad política de erradicación de la corrupción estatal y de planes concretos de producción nacional que generen una verdadera cultura del empleo en el Paraguay. Es un mal camino el adoptado por países cercanos, como el caso de la Argentina, para citar un ejemplo, que sistemáticamente durante el Gobierno del Dr. Fernanado De la Rúa, suprimió derechos constitucionales a los trabajadores del Estado, para evitar profundizar el saldo negativo de las cuentas estatales y hoy vemos a esa hermana nación en una especie de caos social. No repitamos errores, somos una nación muy frágil económica, social y políticamente. Apliquemos la ley, no la evadamos, cambiemos nuestra conciencia y cultura de la corrupción como único medio para obtener beneficios y apostemos al trabajo honesto de todos los paraguayos como única solución.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metodología de la monografía consiste en la transcripción de los artículos conflictivos y el posterior análisis de los mismos.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terminar la introducción a la crítica de la Ley de la Función Pública, quiero aclarar que no es una monografía de índole subjetivo, sino tiene el fin constructivo de corregir errores legislativos que pudieron suceder en la sanción de esta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Crítica Jurídica a la Ley 1.626/00 “De la Función Pública”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1°.- Esta ley tiene por objeto regular la situación jurídica de los funcionarios y de los empleados públicos, el personal de confianza, el contratado y el auxiliar, que presten servicio en la Administración Central, en los entes descentralizados, los gobiernos departamentales y las municipalidades, la Defensoría del Pueblo, la Contraloría </w:t>
            </w:r>
            <w:r w:rsidRPr="001B7F27">
              <w:rPr>
                <w:rFonts w:ascii="Arial" w:eastAsia="Times New Roman" w:hAnsi="Arial" w:cs="Arial"/>
                <w:color w:val="003399"/>
                <w:sz w:val="17"/>
                <w:szCs w:val="17"/>
                <w:lang w:eastAsia="es-AR"/>
              </w:rPr>
              <w:lastRenderedPageBreak/>
              <w:t>General de la República, la banca pública y los demás organismos y entidades del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leyes especiales vigentes y las que se dicten para regular las relaciones laborales entre el personal de la administración central con los respectivos organismos y entidades del estado, se ajustarán a las disposiciones de esta ley aunque deban contemplar situaciones especiales.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Entiéndase por Administración Central los organismos que componen el Poder Ejecutivo, el Poder Legislativo y el Poder Judicial, sus reparticiones y dependencias.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en el segundo párrafo de este artículo, en el que desde el inicio de la ley se comprueba la abolición arbitraria y con efecto retroactivo de los derechos adquiridos por los funcionarios públicos, ya que el mismo párrafo determina claramente que todas las normas anteriores vigentes sobre la materia se deberán ajustar a la presente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Notamos evidentemente una contradicción son el Art. 102 de la C.N., que determina lo siguiente: De los derechos laborales de los funcionarios y de los empleados públicos (Título). Los funcionarios y los empleados públicos gozan de de los derechos establecidos en esta Constitución en la sección de derechos laborales, en un régimen uniforme para las distintas carreras dentro de los límites establecidos por la ley y con resguardo de los derechos adquiridos. Esto significa que si ciertos trabajadores estatales obtuvieron algún beneficio especial debido a la naturaleza de la función desempeñada, con esta nueva ley, se obvian todas aquellas justas conquistas sindicales, causando daños económicos o sociales a los trabajadores.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justo recalcar que esta ley obvió los principios del derecho laboral, los cuales son pautas superiores emanadas de la conciencia social sobre la organización jurídica de una sociedad, o también son reglas inmutables e ideas esenciales que forman las bases en las que se sustenta todo el ordenamiento jurídico – laboral, para proteger la dignidad del trabajador y proyectar su eficacia. Estos principios tienen una relación estrecha con el tema, puesto que una de sus funciones primordiales es la orientadora e informadora, ya que ilustra al legislador y delimita su actuar conforme a las pautas superiores; es una función de política legislativa, por orientar a quien debe sancionar una ley y, por ende, sirve como fundamento del ordenamiento jurídico. En mi opinión nuestros legisladores suprimieron tal valiosa función de los principios del derecho laboral.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confirmar la veracidad del Principio de los Derechos Adquiridos, consagrado en nuestra C.N., agrego unas frases del célebre doctrinario del derecho laboral argentino, el Dr. Grisolia, quuien dice: “la fuente material es un hecho o factor social que surge como consecuencia de una necesidad de la sociedad o de un sector de ella,... la fuente formal es la norma que surge de ese hecho social que, a su vez, es la exteriorización de una necesidad de la sociedad o de parte de ella. Esa norma jurídica –ley, decreto, resolución- que constituye una fuente formal de origen estatal, debe reflejar lo mas fidedignamente posible el hecho social”.2 Entiéndase por hecho social a alguna conquista sindical, a una idiosincrasia de la cultura laboral de cada país,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4°.- Es funcionario público la persona nombrada mediante acto administrativo para ocupar de manera permanente un cargo incluido o previsto en el Presupuesto General de la Nación, donde desarrolle tareas inherentes a la función del organismo o entidad inherentes a la función del organismo o entidad del Estado en el que presta sus servicios. El trabajo del funcionario público es retribuido y se presta en relación de dependencia con 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Simplemente quiero demostrar que este artículo es un punto de partida para varias contradicciones sobrevinientes, ya que en la segunda parte del mismo, el Estado reconoce la relación laboral, tan similar a la de un patrón del sector privado que reconoce la relación laboral con su empleado. Es decir, que no se debería haber creado un marco legal sumamente distinto al del sector privado para reglar al sector público, sino que se hubiese legislado un estatuto concreto y subsidiario al Código del Trabajo, ya que las funciones desempeñadas en ambos sectores –público y privado-, de fondo son similares.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5°.- Es personal contratado la persona que en virtud de un contrato y por tiempo determinado ejecuta una obra o presta servicio al Estado. Sus relaciones jurídicas se regirán por el Código Civil, el contrato respectivo, y las demás normas que regulen la materia. Las cuestiones litigiosas que se susciten entre las partes serán de competencia del fuero civil.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artículo anterior observábamos el reconocimiento del Estado hacia la relación laboral. En este siguiente artículo, a los funcionarios públicos contratados por plazo determinado, se los desnaturaliza, se los transforma en simples ejecutores de un contrato civil, ejecutores de una Locación de Servicios; esta clase de contratos no fue </w:t>
            </w:r>
            <w:r w:rsidRPr="001B7F27">
              <w:rPr>
                <w:rFonts w:ascii="Arial" w:eastAsia="Times New Roman" w:hAnsi="Arial" w:cs="Arial"/>
                <w:color w:val="003399"/>
                <w:sz w:val="17"/>
                <w:szCs w:val="17"/>
                <w:lang w:eastAsia="es-AR"/>
              </w:rPr>
              <w:lastRenderedPageBreak/>
              <w:t>creado para este tipo de relación (laboral), sino para que en la locación de servicios, el obligado a la prestación de un servicio deba ejecutarlo personalmente y en forma incesible, salvo convención en contrario.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se puede negar que el funcionario contratado es similar al funcionario nombrado, ya que ambos cumplen un determinado horario de trabajo, se ajustan a los reglamentos internos de cada institución, reciben y cumplen órdenes de sus superiores, perciben un salario y varios otros elementos típicos que describen a la relación laboral, con la única diferencia, que el funcionario contratado, se halla supeditado en la relación laboral, a un plazo determinado en el contrato, en que llegada la fecha de finalización estipulada en el mismo, la relación laboral queda extinguida.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así, como lo establece el jurista Dr. Ernesto Krotoschin, en un fragmento extraído de su obra Tratado Práctico de Derecho del Trabajo: “la relación laboral individual que se establece entre un patrono y un trabajador dependiente es, por regla general, un contrato de trabajo1... En virtud del contrato de trabajo el trabajador pone su potencia a la disposición del patrono1.1.... el contrato de trabajo muchas veces se limita a encuadrar al trabajador dentro de determinada categoría, o a atribuirle determinada función1.2”. Es por ello que existe una hipocresía jurídica al tener a un funcionario contratado en plena relación de dependencia y someterlo a una simple, falsa y equívoca relación civil. La prestación de servicios por plazo determinado no exonera a la parte contratante de la existencia de la relación laboral.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Igualmente, creo que para los magistrados del fuero civil es inaceptable tener que dilucidar casos laborales, debido a la falta de especialidad y competencia sobre la materia (sin ánimo de ofensa, sino en defensa) y por sobre todo una ridícula marginación al fuero laboral o a lo contencioso-administrativo que poseen la capacidad, práctica y conocimiento suficiente para la solución de este tipo de controversias.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Además en materia de legislación supranacional se ha hecho caso omiso a la Recomendación 84 de la O.I.T., del 8 de junio de 1949, la cual en su primer art. Establece: “1.- En los casos en que se concedan a los empleadores privados subvenciones o permisos para explotar un servicio de utilidad pública, deberían aplicarse disposiciones sustancialmente análogas a las que figuran en las cláusulas de trabajo de los contratos celebrados por las autoridades públicas.”1 Simplemente, significa que los funcionarios contratados gozarán de los mismos privilegios, oportunidades y beneficios que los funcionarios nombrados.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ende, es inaceptable un error de tal magnitud, al estipular que dicha relación laboral tenga que ser regida por las disposiciones del Código Civil, además de otorgar competencia al mismo fuero, como lo he mencionado anteriormente. Es como si para ejecutar un simple pagaré nos rigiéramos por el Código Aeronáutico y el fuero de la Justicia Militar... Veo como inaplicable, viciado y ofensivo a toda la rama y jurisdicción laboral, a este artículo.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6°.- Es personal del servicio auxiliar (choferes, ascensoristas, limpiadores, ordenanzas y otros de naturaleza similar) la persona nombrada para tales funciones por la máxima autoridad del organismo o entidad del Estado en que fuera a prestar sus servicios. El nombramiento se efectuará mediante un procedimiento de selección simplificado que será establecido en el reglamento interno del organismo o entidad respectivo.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personal del servicio auxiliar trabajará en relación de dependencia con el Estado, su trabajo será retribuido y su relación laboral se regirá por el Código del Trabajo.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artículo bien enfocado, que reconoce la relación laboral y establece el régimen legal del Código del Trabajo para los funcionarios auxiliares. En mi opinión, es así como todos los demás funcionarios debieran regirse.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Resulta confusa una exagerada división de cargos dentro de una ley, puesto que cada dependencia estatal realiza funciones distintas que pueden ser regladas por Estatutos o reglamentos internos acordes a la naturaleza de cada institución.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7°.- El reglamento interno de selección y admisión del personal del servicios auxiliar y del personal contratado, se aplicará luego que hubiera sido homologado por la Secretaría de la Función Pública.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Análisis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Tanto los reglamentos internos, como los contratos colectivos del sector privado son siempre controlados y homologados por el Viceministerio de Trabajo y Seguridad Social, en la dependencia de la Dirección del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Creo que debido a la práctica que la citada dependencia estatal posee y en virtud a su naturaleza, hubiese sido ella la que homologase tales reglamentos. Además por una cuestión de economía estatal, porque veo exagerado que nuestro debilitado Estado cuente con dos dependencias de similar función, una para el sector privado y otra para el sector público.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r>
            <w:r w:rsidRPr="001B7F27">
              <w:rPr>
                <w:rFonts w:ascii="Arial" w:eastAsia="Times New Roman" w:hAnsi="Arial" w:cs="Arial"/>
                <w:color w:val="003399"/>
                <w:sz w:val="17"/>
                <w:szCs w:val="17"/>
                <w:lang w:eastAsia="es-AR"/>
              </w:rPr>
              <w:br/>
              <w:t>Art. 15.- El sistema de selección para el ingreso y promoción en la función pública será el de concurso público de oposición.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entenderá por concurso público de oposición, el conjunto de procedimientos técnicos, que se basará en un sistema de ponderación y evaluación de informes, certificados, antecedentes, cursos de capacitación y exámenes, destinados a medir los conocimientos, experiencias e idoneidad del candidato, expresándolos en valores cuantificables y comparables, conforme al reglamento general que será preparado por la Secretaría de la Función Pública y aprobado por decreto del Poder Ejecutivo.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Análisis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Primeramente, aliento el concurso de méritos para acceder a cargos públicos, me parece trascendental para el desarrollo de la nación que el Estado cuente con las personas más aptas e idóneas para cada cargo.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 un artículo que a mi criterio atenta directamente al principio de separación e independencia de cada Poder del Estado, consagrado en el art. 3 de la C.N., el cual expresa lo siguiente: “Del Poder Público (título). El gobierno es ejercido por los Poderes Legislativo, Ejecutivo y Judicial, en un sistema de separación, equilibrio, coordinación y recíproco control. Ninguno de estos poderes puede atribuirse, ni otorgar a otro ni a persona alguna, individual o colectiva, facultades extraordinarias o la suma del Poder Público (.....)”; como también el art. 248 del mismo cuerpo legal, que expresa a continuación “De la independencia del Poder Judicial (título). Queda garantizada la independencia del Poder Judicial (.....)”. Cabe señalar que el art. 238 de nuestra Constitución que trata “De los deberes y atribuciones del Presidente de la República (título). Son deberes y atribuciones de quien ejerce la presidencia de la República: (.....) nombrar y remover a (.....) los funcionarios de la Administración Pública, cuya designación y permanencia en los cargos no estén reglados de otro modo por esta Constitución o por la ley (.....)”.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legisladores, al sancionar la ley de la Función Pública, atribuyeron a ésta una facultad no inherente a la misma, puesto que en el art. 1° de la citada ley, se define a la Administración Central, englobando a los tres Poderes estatales bajo el marco legal de la misma, situación que viola notoriamente los principios ya mencionados de separación e independencia de tales poderes; otorgan –en una pésima interpretación constitucional- la potestad al Presidente de la República de nombrar a funcionarios de cualquiera de los tres poderes, en inobservancia de los citados artículos de la Constitución y en especial del art. 238 de la misma, que si bien establece tal potestad al primer magistrado, pero no extensiva a otros poderes, ya que el mismo artículo continua estableciendo que: “(.....) cuya designación y permanencia en los cargos no estén reglados de otro modo por esta Constitución o por la ley (.....)” tales cargos no estaban expresamente reglados en la C.N., pero sí se hallaban dentro de los principios citados consagrados en los artículos 3 y 248 de nuestra ley suprema y a la vez inmersos en el Código de Organización Judicial y en los Reglamentos Internos de cada Cámara del Congreso, cuerpos legales con facultad de nombrar y dirigir libremente a sus funcionarios. Por ende, es inaplicable, a criterio mío, que la Secretaría de la Función Pública –órgano dependiente del Ejecutivo- dictamine al Presidente de la República, si tal o cual candidato al cargo es el apto para desempeñar una función en otro Poder del Estado. Estamos ante una evidente intromisión de un Poder en otro. Esto no es separación de poderes, no es independencia de cada poder, no es el espíritu ni el sentido que los Convencionales de 1992, quisieron dar a tales artículos de nuestra Carta Magna. Se presta a chantajes políticos, a premios prebendarios, que dañarían mucho más las relaciones internas entre cada uno de los Poderes del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18.- El nombramiento de un funcionario tendrá carácter provisorio durante un periodo de seis meses, considerándose éste como un plazo de prueba. Durante dicho período cualquiera de las partes podrá dar por terminada la relación jurídica sin indemnización ni preaviso alguno.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Análisis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entiendo la arbitrariedad de este artículo, sin fundamento técnico alguno, al establecer seis meses como período de prueba para los funcionarios estatales.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hubiesen aplicado las disposiciones del C.T. respecto a la materia, el cual cuenta con fundamentos específicos y científicos inmersos en tal cuerpo legal, durante la sanción del mencionado Código.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24.- Para atender necesidades temporales de excepcional interés para la comunidad, que sean afines a sus objetivos y a los requerimientos de un mejor servicio, los organismos o entidades del estado podrán contratar a personas físicas de conformidad con lo dispuesto en el Art. 5° de esta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Análisis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Critico de similar manera que al art. 5°, pero con un mayor énfasis respecto a la Recomendación 84 de la O.I.T., del </w:t>
            </w:r>
            <w:r w:rsidRPr="001B7F27">
              <w:rPr>
                <w:rFonts w:ascii="Arial" w:eastAsia="Times New Roman" w:hAnsi="Arial" w:cs="Arial"/>
                <w:color w:val="003399"/>
                <w:sz w:val="17"/>
                <w:szCs w:val="17"/>
                <w:lang w:eastAsia="es-AR"/>
              </w:rPr>
              <w:lastRenderedPageBreak/>
              <w:t>8 de junio de 1949, la cual en su primer art. Establece: “1.- En los casos en que se concedan a los empleadores privados subvenciones o permisos para explotar un servicio de utilidad pública, deberían aplicarse disposiciones sustancialmente análogas a las que figuran en las cláusulas de trabajo de los contratos celebrados por las autoridades públicas.”1 Significa que los funcionarios contratados gozarán de los mismos privilegios, oportunidades y beneficios que los funcionarios nombrados. Distingo una mayor relación con la citada recomendación, puesto que el art. trata claramente de contrataciones temporarias, en las que comúnmente se pacta con el sector privado por medio de concesiones, subvenciones,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28.- Los contratados en virtud de lo dispuesto en este capítulo no podrán, bajo pena de nulidad de contrato y la responsabilidad penal, civil y administrativa de la autoridad contratante, desarrollar funciones o tareas distintas a aquéllas que fueron contratados.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artículo se impone una sanción a los contratados que se aparten de realizar las tareas específicas para las que fueron contratados. Existe en el texto del artículo muy poca técnica legislativa y conocimiento de la ciencia jurídica, puesto que se establece la nulidad del contrato como una sanción por un incumplimiento de contrato (…desarrollar funciones o tareas distintas a aquellas que fueron contratados). Para que proceda la nulidad del contrato debe existir algún vicio del acto de celebración de tal contrato, como la simulación, el fraude o la lesión, que demuestren la imposibilidad de la celebración del acuerdo jurídico de voluntades. El artículo a mi criterio debería establecer que el incumplimiento del contrato acarrearía la rescisión del contrato y no la calificación de nulo al mismo, dado que no existe un error o vicio esencial en su celebración.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47.- Se entenderá por estabilidad el derecho de los funcionarios públicos a conservar el cargo y la jerarquía alcanzados en el respectivo escalafón. La estabilidad se adquirirá a los dos años ininterrumpidos de servicio en la función pública.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la ley 200/70, la estabilidad del funcionario en el cargo era prácticamente automática puesto que posteriormente a los tres primeros meses de labor se adquiría la estabilidad.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Este artículo afecta directamente el principio constitucional de los derechos adquiridos, consagrados en el art. 102 de la C.N., que como ya lo he mencionado en la introducción de esta monografía, no puede tal beneficio ser arbitrariamente abolido por una nueva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86.- Las cuestiones litigiosas suscitadas entre los funcionarios públicos y el Estado será competencia del Tribunal de Cuentas.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bien este artículo estipula el procedimiento normal y correcto, respecto a la competencia de los litigios entre los funcionarios públicos y el Estado, como desde hace varios años la anterior Ley 200/70 determinaba, demuestra a su vez errores anteriores, al diversificar innecesariamente las jurisdicciones en caso de controversias entre las citadas partes, ya que un simple análisis lógico, supone que la naturaleza del Tribunal de Cuentas es la de la competencia en controversias ante casos donde ambas partes son conexas o dependientes del Estado o el propio Estado, y por otro orden la competencia tanto judicial como administrativa en materia laboral (Juzgados y Tribunales del Trabajo y el Viceministerio de Trabajo y Seguridad Social). A mi criterio, solamente estas instancias deberían tener competencia en las relaciones jurídicas establecidas en esta ley analizada.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91.- El Poder Ejecutivo reglamentará la utilización de los medios modernos que se incorporen al Servicio de la Administración Pública tales como: </w:t>
            </w:r>
            <w:r w:rsidRPr="001B7F27">
              <w:rPr>
                <w:rFonts w:ascii="Arial" w:eastAsia="Times New Roman" w:hAnsi="Arial" w:cs="Arial"/>
                <w:color w:val="003399"/>
                <w:sz w:val="17"/>
                <w:szCs w:val="17"/>
                <w:lang w:eastAsia="es-AR"/>
              </w:rPr>
              <w:br/>
              <w:t>medios de comunicación en telefonía, fax, internet;</w:t>
            </w:r>
            <w:r w:rsidRPr="001B7F27">
              <w:rPr>
                <w:rFonts w:ascii="Arial" w:eastAsia="Times New Roman" w:hAnsi="Arial" w:cs="Arial"/>
                <w:color w:val="003399"/>
                <w:sz w:val="17"/>
                <w:szCs w:val="17"/>
                <w:lang w:eastAsia="es-AR"/>
              </w:rPr>
              <w:br/>
              <w:t>medios de registro: impresoras, computadoras, máquinas copiadoras;</w:t>
            </w:r>
            <w:r w:rsidRPr="001B7F27">
              <w:rPr>
                <w:rFonts w:ascii="Arial" w:eastAsia="Times New Roman" w:hAnsi="Arial" w:cs="Arial"/>
                <w:color w:val="003399"/>
                <w:sz w:val="17"/>
                <w:szCs w:val="17"/>
                <w:lang w:eastAsia="es-AR"/>
              </w:rPr>
              <w:br/>
              <w:t>medios de control: tarjetas magnéticas para control de personal y cobro de sueldos; y,</w:t>
            </w:r>
            <w:r w:rsidRPr="001B7F27">
              <w:rPr>
                <w:rFonts w:ascii="Arial" w:eastAsia="Times New Roman" w:hAnsi="Arial" w:cs="Arial"/>
                <w:color w:val="003399"/>
                <w:sz w:val="17"/>
                <w:szCs w:val="17"/>
                <w:lang w:eastAsia="es-AR"/>
              </w:rPr>
              <w:br/>
              <w:t>otros medios similares cuya utilización resulte necesaria.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este artículo lo califico de sumamente pragmático. A la vez se comprueba la intromisión del Poder Ejecutivo en los demás Poderes del Estado, ya que determina que el Poder Ejecutivo, reglamentará la utilización de medios tecnológicos en todas las demás instituciones de otros Poderes.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Inicialmente me referí a la característica pragmática del artículo y tal opinión se debe a que este tipo de norma debe contemplarse dentro del reglamento interno de cada institución, según la naturaleza de la función específica que cumplen, y no dentro de una Ley de tanta envergadura que a mi parecer sólo debería establecer los principios y marcos jurídicos primordiales a que cada reglamento interno se deberá adaptar.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93.- Créase la Secretaría de la Función Pública, dependiente de la Presidencia de la República, con la responsabilidad de vigilar el cumplimiento de esta ley y promover por medio de normas técnicas objetivos de la función pública.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un artículo clave en esta monografía, ya que se vuelve altamente obvia la intromisión y la violación del principio constitucional de separación de poderes y sostengo esto, puesto que no puede una Secretaría, dependiente de la Presidencia de la República, nombrar funcionarios, designar traslados, iniciar sumarios a funcionarios de otros poderes y varias otras funciones más, puesto que si tal situación ocurriese, el Ejecutivo podrá ejercer una presión sumamente fuerte hacia los demás poderes, reflejadas en casos como el nombramiento de un funcionario a cambio de una sentencia o una ley favorable a intereses subjetivos de la Presidencia.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espíritu de la C.N. es justamente evitar ese tipo de supuestos a fin de garantizar al pueblo paraguayo una transparencia plena en el ejercicio del Poder Público por parte de las autoridades y no caer de vuelta, -como en regímenes dictatoriales anteriores, similares al Absolutismo de Luis XIV en Francia- en el que el detentador del poder dirige totalmente al Estado.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artículo, a mi entender, posee un anhelo tácito hacia épocas autoritarias pasadas, en las que un poder dominaba a los otros 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Atenta a la vez contra el principio constitucional de la independencia del Poder Judicial, el cual se contempla en el art. 248 de la C.N., estableciendo que “Queda garantizada la independencia del Poder Judical…”. En fin manifiesto que se trata de un artículo lleno de contradicciones y errores.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95.- Créase la Junta Consultiva de la Secretaría de la Función Pública, conformada por un representante del Poder ejecutivo, un representante de la Cámara de Senadores, un representante de la Cámara de Diputados y un representante del Poder Judicial, con la finalidad de asesorar al Secretario de la Función Pública.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Junta Consultiva dictará su propio reglamento.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crea un organismo colegiado, asesor del Secretario de la Función Pública, a mi entender con el fin de dilucidar controversias sumamente técnicas a la de cada poder estatal. Pero califico a tal Junta como innecesaria, puesto que de no existir la Secretaría de la Función Pública, el cumplimiento de esta ley estaría a cargo de cada uno de los Poderes del Estado. Es decir, el fondo de este artículo demuestra las contradicciones de esta ley y la innecesariedad de la creación de la Secretaría de la Función Pública, contradicción que se demuestra con esta Junta Consultiva al convocar a un representante de cada poder para asesorar al Secretario de la citada Secretaría. Se vuelve disfrazadamente al sistema anterior a la sanción de esta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96.- Serán atribuciones de la Secretaría de la Función Pública:</w:t>
            </w:r>
            <w:r w:rsidRPr="001B7F27">
              <w:rPr>
                <w:rFonts w:ascii="Arial" w:eastAsia="Times New Roman" w:hAnsi="Arial" w:cs="Arial"/>
                <w:color w:val="003399"/>
                <w:sz w:val="17"/>
                <w:szCs w:val="17"/>
                <w:lang w:eastAsia="es-AR"/>
              </w:rPr>
              <w:br/>
              <w:t>formular la política de recursos humanos del sector público, tomando en consideración los requerimientos de un mejor servicio, así como de una gestión eficiente y transparente;</w:t>
            </w:r>
            <w:r w:rsidRPr="001B7F27">
              <w:rPr>
                <w:rFonts w:ascii="Arial" w:eastAsia="Times New Roman" w:hAnsi="Arial" w:cs="Arial"/>
                <w:color w:val="003399"/>
                <w:sz w:val="17"/>
                <w:szCs w:val="17"/>
                <w:lang w:eastAsia="es-AR"/>
              </w:rPr>
              <w:br/>
              <w:t>organizar y mantener actualizado un registro sexado de la función pública;</w:t>
            </w:r>
            <w:r w:rsidRPr="001B7F27">
              <w:rPr>
                <w:rFonts w:ascii="Arial" w:eastAsia="Times New Roman" w:hAnsi="Arial" w:cs="Arial"/>
                <w:color w:val="003399"/>
                <w:sz w:val="17"/>
                <w:szCs w:val="17"/>
                <w:lang w:eastAsia="es-AR"/>
              </w:rPr>
              <w:br/>
              <w:t>preparar el reglamento general de selección, admisión, calificación, evaluación y promoción del personal público, basado en un concurso público de oposición;</w:t>
            </w:r>
            <w:r w:rsidRPr="001B7F27">
              <w:rPr>
                <w:rFonts w:ascii="Arial" w:eastAsia="Times New Roman" w:hAnsi="Arial" w:cs="Arial"/>
                <w:color w:val="003399"/>
                <w:sz w:val="17"/>
                <w:szCs w:val="17"/>
                <w:lang w:eastAsia="es-AR"/>
              </w:rPr>
              <w:br/>
              <w:t>participar en el estudio y análisis de las normas que regulan el sistema de jubilación y pensión a cargo del Estado;</w:t>
            </w:r>
            <w:r w:rsidRPr="001B7F27">
              <w:rPr>
                <w:rFonts w:ascii="Arial" w:eastAsia="Times New Roman" w:hAnsi="Arial" w:cs="Arial"/>
                <w:color w:val="003399"/>
                <w:sz w:val="17"/>
                <w:szCs w:val="17"/>
                <w:lang w:eastAsia="es-AR"/>
              </w:rPr>
              <w:br/>
              <w:t>detectar las necesidades de capacitación del funcionario público y establecer los planes y programas necesarios para la misma;</w:t>
            </w:r>
            <w:r w:rsidRPr="001B7F27">
              <w:rPr>
                <w:rFonts w:ascii="Arial" w:eastAsia="Times New Roman" w:hAnsi="Arial" w:cs="Arial"/>
                <w:color w:val="003399"/>
                <w:sz w:val="17"/>
                <w:szCs w:val="17"/>
                <w:lang w:eastAsia="es-AR"/>
              </w:rPr>
              <w:br/>
              <w:t>asesorar a la Administración Central, entes descentralizados, los gobiernos departamentales y municipales, acerca de la política sobre recursos humanos a ser implementada;</w:t>
            </w:r>
            <w:r w:rsidRPr="001B7F27">
              <w:rPr>
                <w:rFonts w:ascii="Arial" w:eastAsia="Times New Roman" w:hAnsi="Arial" w:cs="Arial"/>
                <w:color w:val="003399"/>
                <w:sz w:val="17"/>
                <w:szCs w:val="17"/>
                <w:lang w:eastAsia="es-AR"/>
              </w:rPr>
              <w:br/>
              <w:t>supervisar la organización y funcionamiento de los organismos o entidades del Estado, encargadas de los recursos humanos de la función pública;</w:t>
            </w:r>
            <w:r w:rsidRPr="001B7F27">
              <w:rPr>
                <w:rFonts w:ascii="Arial" w:eastAsia="Times New Roman" w:hAnsi="Arial" w:cs="Arial"/>
                <w:color w:val="003399"/>
                <w:sz w:val="17"/>
                <w:szCs w:val="17"/>
                <w:lang w:eastAsia="es-AR"/>
              </w:rPr>
              <w:br/>
              <w:t>proponer el sistema de clasificación y descripción de funciones de los cargos de los organismos y entidades del Estado y mantenerlos actualizados, así como el escalafón para funcionarios públicos;</w:t>
            </w:r>
            <w:r w:rsidRPr="001B7F27">
              <w:rPr>
                <w:rFonts w:ascii="Arial" w:eastAsia="Times New Roman" w:hAnsi="Arial" w:cs="Arial"/>
                <w:color w:val="003399"/>
                <w:sz w:val="17"/>
                <w:szCs w:val="17"/>
                <w:lang w:eastAsia="es-AR"/>
              </w:rPr>
              <w:br/>
              <w:t xml:space="preserve">asesorar a organismos y entidades del Estado para la racionalización en materia de escalafones y proponer criterios </w:t>
            </w:r>
            <w:r w:rsidRPr="001B7F27">
              <w:rPr>
                <w:rFonts w:ascii="Arial" w:eastAsia="Times New Roman" w:hAnsi="Arial" w:cs="Arial"/>
                <w:color w:val="003399"/>
                <w:sz w:val="17"/>
                <w:szCs w:val="17"/>
                <w:lang w:eastAsia="es-AR"/>
              </w:rPr>
              <w:lastRenderedPageBreak/>
              <w:t>para la formulación de políticas de remuneración a los funcionarios públicos;</w:t>
            </w:r>
            <w:r w:rsidRPr="001B7F27">
              <w:rPr>
                <w:rFonts w:ascii="Arial" w:eastAsia="Times New Roman" w:hAnsi="Arial" w:cs="Arial"/>
                <w:color w:val="003399"/>
                <w:sz w:val="17"/>
                <w:szCs w:val="17"/>
                <w:lang w:eastAsia="es-AR"/>
              </w:rPr>
              <w:br/>
              <w:t>recabar los informes necesarios para el cumplimiento de sus fines, de todas las reparticiones públicas;</w:t>
            </w:r>
            <w:r w:rsidRPr="001B7F27">
              <w:rPr>
                <w:rFonts w:ascii="Arial" w:eastAsia="Times New Roman" w:hAnsi="Arial" w:cs="Arial"/>
                <w:color w:val="003399"/>
                <w:sz w:val="17"/>
                <w:szCs w:val="17"/>
                <w:lang w:eastAsia="es-AR"/>
              </w:rPr>
              <w:br/>
              <w:t>realizar estudios sobre materias de su competencia para la toma de decisiones que afecten a los funcionarios públicos;</w:t>
            </w:r>
            <w:r w:rsidRPr="001B7F27">
              <w:rPr>
                <w:rFonts w:ascii="Arial" w:eastAsia="Times New Roman" w:hAnsi="Arial" w:cs="Arial"/>
                <w:color w:val="003399"/>
                <w:sz w:val="17"/>
                <w:szCs w:val="17"/>
                <w:lang w:eastAsia="es-AR"/>
              </w:rPr>
              <w:br/>
              <w:t>promover el acceso de la mujer a los cargos de decisión en la función pública;</w:t>
            </w:r>
            <w:r w:rsidRPr="001B7F27">
              <w:rPr>
                <w:rFonts w:ascii="Arial" w:eastAsia="Times New Roman" w:hAnsi="Arial" w:cs="Arial"/>
                <w:color w:val="003399"/>
                <w:sz w:val="17"/>
                <w:szCs w:val="17"/>
                <w:lang w:eastAsia="es-AR"/>
              </w:rPr>
              <w:br/>
              <w:t>homologar y registrar los reglamentos internos y los contratos colectivos de condiciones de trabajo, dentro de los organismos y entidades del Estado cuando ellos reúnan los requisitos de fondo y de forma para su validez;</w:t>
            </w:r>
            <w:r w:rsidRPr="001B7F27">
              <w:rPr>
                <w:rFonts w:ascii="Arial" w:eastAsia="Times New Roman" w:hAnsi="Arial" w:cs="Arial"/>
                <w:color w:val="003399"/>
                <w:sz w:val="17"/>
                <w:szCs w:val="17"/>
                <w:lang w:eastAsia="es-AR"/>
              </w:rPr>
              <w:br/>
              <w:t>aprobar los proyectos de reglamento de selección, admisión, calificación y promoción del personal público, presentados por las diversas reparticiones públicas; y,</w:t>
            </w:r>
            <w:r w:rsidRPr="001B7F27">
              <w:rPr>
                <w:rFonts w:ascii="Arial" w:eastAsia="Times New Roman" w:hAnsi="Arial" w:cs="Arial"/>
                <w:color w:val="003399"/>
                <w:sz w:val="17"/>
                <w:szCs w:val="17"/>
                <w:lang w:eastAsia="es-AR"/>
              </w:rPr>
              <w:br/>
              <w:t xml:space="preserve">designar los jueces de instrucciones para los sumarios administrativos.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Entre las atribuciones de la Secretaría de la Función Pública corroboramos la intención legislativa de otorgar a ésta el dominio pleno de la administración del personal en todos los Poderes del Estado, tanto para la admisión, control, proyección y en síntesis, el manejo total de los recursos humanos del sector público.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inc. a), se hace notoria la facultad de la Secretaría de la Función Pública, respecto a la planificación y desarrollo en materia del personal público. Esta intromisión se vuelve tan arbitraria, debido a la escasez de fundamentos prácticos que posee, porque se torna inexplicable que un organismo inexperto, dependiente del Ejecutivo, tenga que elaborar políticas de recursos humanos de otros poderes, puesto que no existe mejor conocedor de sus necesidades que cada poder estatal; se avasallan derechos y garantías constitucionales de los poderes públicos, sin ningún fundamento y con una praxis ridícula.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inc. c), posee el error de la determinación de pautas reglamentarias para el acceso de una persona a un cargo público. De vuelta, a mi entender, se hace difícil planificar por otro, analizar otra situación, otro entorno distinto. Esta Secretaría no debería tener tal atribución debido a la tangible incursión abolitiva de la separación de poderes estatales y más aún en nuestro país en donde reinan las influencias políticas y se acarrea una cultura del manejo del Estado patrimonialista, como posesión del detentador del poder público. Aclaro que comparto el final del inciso, respecto al concurso público de oposición.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Una situación similar a las anteriores se puede apreciar en el inc. e), en el que se torna ridículo que un organismo apartado de la realidad de otros poderes pueda determinar las necesidades de capacitación laboral del personal de estos otros poderes. Esta Secretaría podría detectar su falta de capacitación pero no la de la Contraloría General de la República, por ejemplo.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me explico qué autoridad puede detentar una simple Secretaría del Ejecutivo, para poseer la facultad de supervisación de oficinas de recursos humanos de otros Poderes del Estado y es en el inc. g), en el que centro esta crítica, por carecer de fundamentos, para que la Secretaría de la Función Pública realice tal función.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bien no comparto la creación de esta Secretaría, pero como podría existir y a pesar de tratarse de una leve intromisión en otro poder, estoy de acuerdo con lo establecido en el inc. h), puesto que simplemente la citada dependencia estatal propondrá un sistema clasificativo y descriptivo de cargos, y no como en otros artículos e incisos, en los cuales se somete a los Poderes del Estado a la competencia plena de la Secretaría.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inc. j), se le otorga a la Secretaría, la facultad que hasta ahora solamente la Contraloría General de la República tenía, la de recabar informes del desarrollo de los poderes estatales. A mi parecer no posee la Secretaría, la suficiente envergadura para recabar informes de otros poderes, ya que carece de origen constitucional y por ende, sobreviene la calificación de una vil intromisión.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inc. m) faculta a la Secretaría a realizar una función que es propia de la Dirección del Trabajo, la homologación de reglamentos internos. El empobrecido Estado paraguayo ya cuenta con una institución para ese efecto. No entiendo para qué crear una Secretaría que realice la misma función. Si el espíritu y la intención de los legisladores eran los de reducir el funcionariado del Estado, groseramente erraron al crear una Secretaría que agranda el presupuesto estatal y cumple funciones de otros organismos, que producirán choques de competencias.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inc. n), lo califico de ridículo, puesto que si en el inciso c) de este mismo artículo, se establece “preparar el reglamento general de selección, admisión, calificación, evaluación y promoción del personal público, basado en un concurso público de oposición”, no me explico porqué ahora esta Secretaría deberá aprobar los reglamentos similares, acercados por las diversas reparticiones públicas. Notoriamente es un inciso que no ha sido controlado para su sanción y en un mismo artículo determinaron dos incisos para funciones inconstitucionales.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98.- Las disposiciones de esta ley serán aplicables con criterio de centralización normativa y descentralización operativa.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mi entender toda esta ley tiene carácter centralizador, ejerce una fuerza centrípeta que acarrea al Poder Legislativo y al Poder Judicial al centro, hacia el Poder Ejecutivo.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Fiel ejemplo de que lo establecido en este artículo no será de práctica efectiva, son los reclamos de las Gobernaciones de nuestro país que pregonan la descentralización de facultades del Poder Ejecutivo, centralizadas en la Presidencia de la República. Tales reclamos se basan en la pésima administración de la Presidencia, el exceso de trámites burocráticos y el típico desarrollo prebendario de las políticas estatales.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ningún artículo de esta ley, se establecen signos de descentralización operativa, sino al contrario, se le otorgan facultades de otros Poderes del Estado a la Secretaría de la Función Pública. De eso no se trata la descentralización; de vuelta es un error inmenso de esta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99.- La Secretaría de la Función Pública será el organismo central normativo para todo cuando tenga relación con la función pública y con el desarrollo institucional. Las oficinas de recursos humanos u otras equivalentes, de los organismos o entidades del Estado serán las unidades operativas descentralizadas.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Análisis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artículo se demuestra que se aglutinan inconstitucionalmente las facultades de otros poderes de realizar normas específicas para sus funcionarios. Si se respetase el principio de separación de los poderes, no es posible que exista esta facultad de la Secretaría por intervenir en cuestiones propias de cada poder.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la vez, quiero determinar la falsedad de la parte final del artículo al establecer que las oficinas de recursos humanos de otros poderes o entidades del Estado son unidades descentralizadoras, puesto que esta ley las marginó, otorgándoles simplemente funciones administrativas sencillas, arrogando las de fondo a la Secretaría de la Función Pública.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102.- La Secretaría de la Función Pública fiscalizará la implementación y el cumplimiento de las disposiciones de esta ley y sus reglamentos.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Sencillamente opino que el cumplimiento de esta ley debería estar a cargo de cada Poder del Estado en sus respectivos Consejos de Superintendencias, en las oficinas de recursos humanos o en la máxima autoridad de cada uno.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 110.- El derecho a la sindicalización y el de huelga se regirán por esta ley, debiendo siempre considerarse el interés general implícito en el servicio público. La declaración de la legalidad e ilegalidad de las huelgas en el sector público se tramitará por el procedimiento establecido para el recurso de amparo.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Análisis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se determina expresamente en este artículo la competencia para la calificación de la medida de fuerza, se supone el fuero laboral, por tratarse de la especialidad del mismo en casos puramente laborales como los posibles en este artículo.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 144.- Los tribunales electorales del país entenderán en los casos previstos en esta ley, cuando se trate de funcionarios municipales o de los gobiernos departamentales.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Creo que este artículo fue sancionado con la intención de reducir la cantidad de expedientes de los Tribunales de Cuentas y del fuero laboral y a la vez otorgar mas trabajo al laxo fuero electoral.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artículo erróneo a mi entender, puesto que el fuero electoral no posee especialidad en casos laborales o contenciosos-administrativos. Analizando más prácticamente, observamos que un magistrado electoral se especializa sobre su rama del derecho, realiza y asiste a cursos de capacitación electoral, resuelve a diario casos de materia electoral, es decir, debe resolver solamente casos para los cuales profundizó sus conocimientos y no inmiscuirse en casos complejos de naturaleza contencioso-administrativa o laborales, en los que a mi parecer deberían tener competencia para la solución de esta índole de controversias.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r>
            <w:r w:rsidRPr="001B7F27">
              <w:rPr>
                <w:rFonts w:ascii="Arial" w:eastAsia="Times New Roman" w:hAnsi="Arial" w:cs="Arial"/>
                <w:color w:val="003399"/>
                <w:sz w:val="17"/>
                <w:szCs w:val="17"/>
                <w:lang w:eastAsia="es-AR"/>
              </w:rPr>
              <w:br/>
              <w:t xml:space="preserve">Art. 145.- Derógase la Ley N° 200/70 del 17 de julio de 1970, los artículos 2° inc. d) y artículo 412 del Código del Trabajo, y todas las demás disposiciones que se opongan a la presente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Análisis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artículo destructivo y extremadamente arbitrario, una ofensa legislativa, se asemeja con los decretos–ley de épocas pasadas por su exceso de autoritarismo.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artículo deroga el artículo 2°, inc. d) del Código del Trabajo, que establece la competencia del mismo cuerpo legal en la relación Estado – funcionario público, pero a la vez se contradice, puesto que en varios de artículos se menciona la competencia del Código del Trabajo en tales relaciones.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Entiendo que para la sanción de una ley se deben estudiar pausadamente todos los fundamentos científicos y prácticos del entorno social, analizar las fuentes materiales profundamente, de modo a exteriorizar una ley coherente con principios superiores constitucionales y no una ley como esta que avasalla, como lo establece en la parte final de este artículo, con todas las otras disposiciones que se opongan a la presente ley, sin especificar cual. Este hecho se presta a interpretaciones sumamente subjetivas y perjudiciales que podrán causar daños al sector funcionarial.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existe técnica legislativa alguna entre los que aprobaron esta ley y se demuestra al crear un artículo como éste; se trata de un marco jurídico muy importante para el desarrollo institucional de nuestro país y nuestro Congreso no analizó ni siquiera este proyecto y lo sanciona como ley. Es una aberración.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último, el principio constitucional de los derechos adquiridos, una vez más fue vilmente abolido por esta ley y en especial por este artículo, ya que si existe alguna norma favorable a los trabajadores y contraria a esta ley ese beneficio laboral queda derogado. Y aún peor, el no respeto al principio protectorio, como lo establece el Dr. Grisolia, de la siguiente manera: “en virtud del principio protectorio, una norma de jerarquía inferior puede prevalecer sobre otra de jerarquía superior si resulta más favorable al trabajador”3.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Desde el inicio de esta monografía, he tratado de detallar y fundamentar los errores más profundos, incurridos en la sanción de este cuerpo legal.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la sanción de esta ley, han sido varios los sindicatos de trabajadores estatales que han demostrado su reproche hacia esta ley, tanto de manera subjetiva a través de manifestaciones, marchas, protestas callejeras, etc, y también de manera objetiva por medio de la acción de inconstitucionalidad contra ciertos artículos de esta ley. Todo ello ha arrojado como resultado que la Corte Suprema de Justicia, cito este caso como un ejemplo, en la Acción de Inconstitucionalidad contra artículos de la Ley 1.626/2000 (presentada por Funcionarios del Poder Judicial) a través del A.I. N° 23 de fecha 2 de febrero de 2001, la Sala Constitucional de la máxima instancia judicial de nuestro país, resolvió: DISPONER la suspensión de efectos de los artículos 1°, 6°, 7°, 8°, 15°, 24°, 33°, 36°, 37°,50°, 74°, 93°, 95°, 96°, 98° y 139° de la Ley 1.626/2000, hasta tanto sea resuelta la presente acción de inconstitucionalidad. Si bien, hasta hoy en día, la Corte Suprema de Justicia no se ha expedido al respecto, en un Acuerdo y Sentencia, que resuelva definitivamente la cuestión de fondo, creo que este A.I. es un preludio de la declaración de inconstitucionalidad de esta ley. La Corte debe declarar nula e inaplicable a esta ley, porque está plagada de artículos que atentan principios consagrados en nuestra Constitución y me he esforzado al escribir esta monografía para demostrarlos con fundamentos claros y evidentes de los errores legislativos.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torna casi urgente la declaración de inconstitucionalidad de la Corte Suprema de Justicia, primeramente para contribuir a la tan deseada paz social que necesita el país para poder progresar, ya que el funcionariado público se halla inmerso en mares de protestas contra el Estado y ésta es una más de ellas. A la vez esta declaración de inconstitucionalidad, servirá para la enmienda de esta ley, que ya tuvo su iniciativa años atrás, en la Cámara de Senadores y posteriormente se aguardó la Sentencia de la Corte Suprema de Justicia. Esta enmienda deberá respetar primeramente los derechos adquiridos de los funcionarios públicos, también respetará la separación e independencia de los Poderes del Estado, evitará la creación de situaciones antagónicas entre el Estado y sus funcionarios y por ende, aclarará las confusas y contradictorias determinaciones que contiene actualmente.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ciudadanía y el funcionariado público deberán elegir mejor a sus representantes ante el Congreso, de modo a evitar dilaciones e ineficacias como éstas, que agravan la mísera situación del país.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Concluyendo, quiero agradecer la oportunidad de explayarme a los directivos de la Revista Jurídica y a la vez felicitarlos por el inmenso esfuerzo realizado para la edición de tan valiosa pieza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Espero que esta sencilla monografía sea del agrado de los lectores y contribuya a generar un intercambio de </w:t>
            </w:r>
            <w:r w:rsidRPr="001B7F27">
              <w:rPr>
                <w:rFonts w:ascii="Arial" w:eastAsia="Times New Roman" w:hAnsi="Arial" w:cs="Arial"/>
                <w:color w:val="003399"/>
                <w:sz w:val="17"/>
                <w:szCs w:val="17"/>
                <w:lang w:eastAsia="es-AR"/>
              </w:rPr>
              <w:lastRenderedPageBreak/>
              <w:t>opiniones sobre tan polémico tema. Escribir para la Revista Jurídica de la Facultad de Ciencias Jurídicas y Diplomáticas de la Universidad Católica ha sido una herramienta de aprendizaje e investigación valiosísima que resultó sumamente interesante.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Lecciones de Derecho Laboral. Carmelo C. Di Martino y José Kriscovich. Edit. Marben. Tercera edición. 1998. Asunción – Paraguay.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Derecho Privado I, Lecciones de Derecho Civil. Carmelo C. Di Martino y José Kriscovich. Edit. Marben. Cuarta edición. 1998. Asunción – Paraguay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Derecho del Trabajo y de la Seguridad Social, Manual Teórico – Práctico. Julio A. Grisolia. Ediciones Depalma. 1998. Buenos Aires. Argentina.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Tratado Práctico de Derecho del Trabajo. Tomo I. Ernesto Krotoschin. Ediciones Depalma. Segunda edición. 1962. Buenos Aires. Argentina.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Normas Internacionales del Trabajo de la O.I.T. Tomo I. Edit. Lex Nova. 1993. Valladolid. España.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Leyes auxiliares.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Nacional vigente.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Código Civil Paraguayo vigente.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Código del Trabajo vigente.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Código de Organización Judicial vigente.</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0"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vAlign w:val="center"/>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9" w:name="9"/>
            <w:bookmarkEnd w:id="9"/>
            <w:r w:rsidRPr="001B7F27">
              <w:rPr>
                <w:rFonts w:ascii="Arial" w:eastAsia="Times New Roman" w:hAnsi="Arial" w:cs="Arial"/>
                <w:b/>
                <w:bCs/>
                <w:color w:val="009933"/>
                <w:sz w:val="20"/>
                <w:szCs w:val="20"/>
                <w:lang w:eastAsia="es-AR"/>
              </w:rPr>
              <w:t>"Cuestión de Competencia de los Juzgados de la Niñez y Adolescencia"</w:t>
            </w:r>
            <w:r w:rsidRPr="001B7F27">
              <w:rPr>
                <w:rFonts w:ascii="Arial" w:eastAsia="Times New Roman" w:hAnsi="Arial" w:cs="Arial"/>
                <w:color w:val="003399"/>
                <w:sz w:val="17"/>
                <w:szCs w:val="17"/>
                <w:lang w:eastAsia="es-AR"/>
              </w:rPr>
              <w:br/>
              <w:t>Raúl Fernando Barriocanal Feltes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de la niñez y adolescencia</w:t>
            </w:r>
          </w:p>
          <w:p w:rsidR="001B7F27" w:rsidRPr="001B7F27" w:rsidRDefault="001B7F27" w:rsidP="001B7F27">
            <w:pPr>
              <w:spacing w:before="100" w:beforeAutospacing="1" w:after="100" w:afterAutospacing="1" w:line="240" w:lineRule="auto"/>
              <w:jc w:val="right"/>
              <w:rPr>
                <w:rFonts w:ascii="Arial" w:eastAsia="Times New Roman" w:hAnsi="Arial" w:cs="Arial"/>
                <w:color w:val="003399"/>
                <w:sz w:val="17"/>
                <w:szCs w:val="17"/>
                <w:lang w:eastAsia="es-AR"/>
              </w:rPr>
            </w:pPr>
            <w:hyperlink r:id="rId51"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entrada en vigencia de la Ley No. 1680/01 produjo una serie de cuestiones dudosas en relación especialmente a la competencia del Juzgado de la Niñez y Adolescencia para ciertos y determinados casos.-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Entre estas dudas se encuentra si las cuestiones que se refieren a las personas mayores de 18 años pero menores de 20 pueden o no ser atendidas por el Juzgado de la Niñez y de la Adolescencia. Algunos opinan que el menor adulto no se encuentra amparado por las disposiciones de la Ley No. 1680/01 y por ende no se encuentra sometido a la competencia del Juzgado de la Niñez y de la Adolescencia por cuyo motivo, los casos en que estos estén involucrados deben ser derivados a los Juzgados de Primera Instancia en lo Civil y Comercial. Otros por el contrario, </w:t>
            </w:r>
            <w:r w:rsidRPr="001B7F27">
              <w:rPr>
                <w:rFonts w:ascii="Arial" w:eastAsia="Times New Roman" w:hAnsi="Arial" w:cs="Arial"/>
                <w:color w:val="003399"/>
                <w:sz w:val="17"/>
                <w:szCs w:val="17"/>
                <w:lang w:eastAsia="es-AR"/>
              </w:rPr>
              <w:lastRenderedPageBreak/>
              <w:t>optan por mantener la competencia de los Juzgados del Menor (hoy de la Niñez y adolescencia) tal cual existía con la anterior ley, la No. 903/81 Código del Menor.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Poseen una y otra posición, argumentos totalmente atendibles. Así la primera, aquella que no acepta la competencia, considera que el Art. 1º. de la Ley 1680/01 cuando expresa : “Este código establece y regula los derechos, garantías y deberes del niño y del adolescente, conforme a lo dispuesto en la Constitución Nacional, la Convención sobre los derechos del niño, los instrumentos internacionales sobre la protección de los derechos humanos aprobados y ratificados por el Paraguay, y las leyes”, junto al Art. 158 que dice: “La Corte Suprema de Justicia y los Tribunales, Juzgados y la defensoría especializados creados por esta Ley, así como sus auxiliares, entenderán en todas las cuestiones que se relacionen con los derechos del niño y del adolescente..”.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Exponen igualmente que según esta Ley No. 1680/01 en concordancia con la CONVENCION DE LAS NACIONES UNIDAS SOBRE DERECHO DE LOS NIÑOS, ratificada por nuestro país por ley No. 57/90, la que en su Art. 1º. Establece que “Se entiende por niño todo ser humano menor de 18 años de edad , salvo que en virtud de la ley que le sea aplicable, haya alcanzado antes la mayoría de edad”,hace que la persona alcance la mayoría de edad a los 18 años y no a los 20 como establecía la derogada Ley No. 903/81 (Código del Menor), lo cual hace que ya sea plenamente capaz y con aptitud para realizar las reclamaciones ante el fuero común, es decir, los Juzgados Civiles.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segunda tesis expone fundamentalmente basada en una reciente Acordada de la Corte Suprema de Justicia que lleva el No. 157 de fecha 27 de junio de 2002, la cual en su motivación expone que “es necesario establecer la jurisdicción competente para la protección del menor adulto de conformidad con la normativa actual (Ley No. 1680/01, Art. 2 y concordantes, Ley No. 1702/01, Ley No. 57/90), a los efectos de dispensar protección jurisdiccional efectiva a los derechos de las personas comprendidas en tal status (de 18 años hasta cumplir la mayoría de edad). Que por haberse derogado el Código del Menor con el actual Código de la Niñez y de la Adolescencia se carece de normas expresas que establezcan la jurisdicción competente en los asuntos concernientes a dicha franja etaria, y que por lo tanto resulta imperioso cubrir dicho vacío haciendo una interpretación armónica e integrada de las normas vigentes…Por tanto, la Corte Suprema de Justicia acuerda: Art. 1º. Declarar que la jurisdicción competente para atender los casos concernientes a los menores adultos es la de la Niñez y de la Adolescencia, de conformidad a lo dispuesto en el Considerando de esta resolución.” por lo que las personas humanas comprendidas en la franja entre 18 años a 20, no son mayores de edad y en consecuencia sujetos de la jurisdicción de la niñez y la adolescencia.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Aún cuando la Acordada No. 157/02 antes transcripta no puntualiza las razones por las cuales, por vía de interpretación, como refiere, llega a la conclusión de otorgar la competencia a dichos juzgados, particularmente me inclino por esta segunda posición, por varios motivos, haciendo la salvedad de que creo que toda la confusión y polémica deviene exclusivamente de no tener bien claro en que consiste la CAPACIDAD por un lado y los derechos del NIÑO Y DEL ADOLESCENTE por el otro.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Haciendo una síntesis de estos institutos diremos que CAPACIDAD es la aptitud para gozar de un derecho o para ejercerlo. Todo lo referente a la Capacidad se encuentra regido por el Código Civil, siendo la regla la existencia de la capacidad en todas las personas para el derecho nuestro y actual, mientras que la incapacidad constituye la excepción.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capacidad o la incapacidad nace de esa facultad que en diversos casos le concede o le niegue la ley por distintos motivos. Así, las personas humanas son Absolutamente incapaces de hecho, por razones de edad hasta los 14 años, o por afectación de sus facultades mentales, mientras que los mayores de 14 años o por razones de relacionamiento como por ejemplo el Art. 156 del Código Civil que prohíbe a los esposos contratar entre sí, o el 1208 según el cual no puede haber donaciones entre esposos etc. la incapacidad es relativa.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que tiene trascendencia para el caso que nos ocupa se refiere a la incapacidad por la EDAD tanto absoluta como relativa. Por ello tenemos que, para el Art. 36 del Código Civil “La capacidad de hecho consiste en la aptitud legal de ejercer uno por si mismo o por sí solo sus derechos. Este Código reputa plenamente capaz a todo ser humano que haya cumplido veinte años de edad y no haya sido declarado incapaz judicialmente”.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razón de la edad pues, la plena capacidad se adquiere el día en que la persona cumpla 20 años de edad, según lo refiere el trascripto Art. 36 del Código Civil. Es decir a los 20 años se adquiere la mayoría de edad puesto que es la edad que la ley prescribe para que las personas humanas entren en pleno goce de sus derechos civiles.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Teniendo presente estas premisas, si bien es cierto que la Ley 1680/01 prioriza y especializa la competencia del Juzgado de la Niñez y la Adolescencia para las cuestiones de estos sujetos hasta la edad de 17 años, no existe ninguna disposición que le sustraiga de la competencia sobre algunos aspectos de los menores de edad pero mayores de 18.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Ley 1702/01 “Que establece el alcance de los términos Niño, Adolescente y Menor Adulto” en su Art. 1º. Dispone: “A los efectos de la correcta interpretación y aplicación de las normas relativas a la niñez y la adolescencia, establécese el alcance de los siguientes términos: a) Niño: toda persona humana desde la concepción hasta los trece años de edad; b) Adolescente: toda persona humana desde los catorce años hasta los diecisiete años de edad </w:t>
            </w:r>
            <w:r w:rsidRPr="001B7F27">
              <w:rPr>
                <w:rFonts w:ascii="Arial" w:eastAsia="Times New Roman" w:hAnsi="Arial" w:cs="Arial"/>
                <w:color w:val="003399"/>
                <w:sz w:val="17"/>
                <w:szCs w:val="17"/>
                <w:lang w:eastAsia="es-AR"/>
              </w:rPr>
              <w:lastRenderedPageBreak/>
              <w:t>y, c) Menor adulto: toda persona humana desde los dieciocho años hasta alcanzar la mayoría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esta norma surge indudable que la persona humana no alcanza la mayoría de edad a los 18 años como concluyen algunos, entiendo que equivocadamente, sino que a los veinte años, como ya lo exponía la Ley 903/81 la cual considero que en este punto no ha quedado derogada, puesto que el Art. No. 257 de la Ley 1680/01 deroga el Código del Menor solo “…en cuanto se opongan al presente Código; así como cualquier otra disposición contraria a este Código”, y como éste no se refiere a la mayoría de edad, no existe oposición con aquella norma. Además se encuentra lo referente a la capacidad ya manifestada y que según el Código Civil se adquiere plenamente a los veinte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Desde luego que no tendría razón de ser la disposición de la Ley 1702/01 cuando al conceptuar al MENOR ADULTO como la persona humana desde los 18 años de edad hasta alcanzar la mayoría si se alcanzase ya la mayoría de edad a los 18. Esta norma nos indica claramente que la mayoría recién se adquiere a los 20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Art. 75 de la Ley 1680/01 expresa que “La patria Potestad se extinguirá: a) por la muerte de los padres o de los hijos; b) por llegar estos a la mayoría de edad y, c) por emancipación”, en otros términos, entre los dieciocho años y los veinte años, se está aún bajo la patria potestad.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Siguiendo con la normativa del Código de la Niñez y la Adolescencia, el Art. 70 al referirse a la Patria Potestad manda en su segundo párrafo que …“Las cuestiones derivadas de la patria potestad serán resueltas por el Juzgado de la Niñez y la Adolescencia”. No discrimina la norma sobre si solo se refiere a niños y adolescentes o también abarca a los menores adultos, quienes también se encuentran aún sometidos a la patria potestad según habíamos visto.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Reafirma esta tesis sobre la competencia de los Juzgados de la Niñez y de la Adolescencia sobre cuestiones referidas a menores adultos el Art. 161 dispone : “El Juzgado de la Niñez y la adolescencia conocerá sobre: a)lo relacionado a las acciones de filiación; b) el ejercicio, suspensión o pérdida de la patria potestad sobre los hijos…” obviamente, si tiene competencia para entender en TODO LO QUE SE REFIERE A LA PATRIA POTESTAD si ésta culmina AL ALCANZAR LA MAYORÍA DE EDAD resulta claro que la competencia de los juzgados de la Niñez y de la Adolescencia se extiende igualmente a los menores adultos, que, según la Ley 1702/01 no son mayores de edad.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que sí queda claro es que la Ley No. 1680/01 (Código de la Niñez y de la Adolescencia) otorga a los incapaces relativos por razón de la edad, mayores de 18 años más derechos de obrar en relación a lo que tenían antes de la vigencia de esa ley, así ya no requieren autorización de sus padres para viajar, según el Art. 100 ó para contraer matrimonio, según el Art. 102, pero para otras situaciones como por ejemplo vender o contratar libremente no lo pueden hacer aún, estando sometidos a la Patria Potestad y requiriendo para ello la autorización de los Juzgados de la Niñez y de la Adolescencia.</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2"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0" w:name="10"/>
            <w:bookmarkEnd w:id="10"/>
            <w:r w:rsidRPr="001B7F27">
              <w:rPr>
                <w:rFonts w:ascii="Arial" w:eastAsia="Times New Roman" w:hAnsi="Arial" w:cs="Arial"/>
                <w:b/>
                <w:bCs/>
                <w:color w:val="009933"/>
                <w:sz w:val="20"/>
                <w:szCs w:val="20"/>
                <w:lang w:eastAsia="es-AR"/>
              </w:rPr>
              <w:t>"Daños al Usuario del Transporte Aéreo"</w:t>
            </w:r>
            <w:r w:rsidRPr="001B7F27">
              <w:rPr>
                <w:rFonts w:ascii="Arial" w:eastAsia="Times New Roman" w:hAnsi="Arial" w:cs="Arial"/>
                <w:color w:val="003399"/>
                <w:sz w:val="17"/>
                <w:szCs w:val="17"/>
                <w:lang w:eastAsia="es-AR"/>
              </w:rPr>
              <w:br/>
              <w:t>Minerva Izquierdo Centurión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Aeronáutico</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3"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SUMARIO: 1. Responsabilidad Civil Aeronáutica: 1.1. Clases de responsabilidad civil aeronáutica; 1.2. Duración del transporte a los efectos de la imputación; 1.3. Daños resarcibles. 2. Ley aplicable. 3. Sistema aplicable. 4. Sujeto pasivo. 5. Ejercicio de la acción. 6. Límites a las sumas de indemnización: 6.1. Fundamentos; 6.2. Montos máximos; 6.3 Franqueabilidad. 7. El Convenio de Montreal de 1999: 7.1. Breve comparación entre el Convenio de Montreal y el </w:t>
            </w:r>
            <w:r w:rsidRPr="001B7F27">
              <w:rPr>
                <w:rFonts w:ascii="Arial" w:eastAsia="Times New Roman" w:hAnsi="Arial" w:cs="Arial"/>
                <w:color w:val="003399"/>
                <w:sz w:val="17"/>
                <w:szCs w:val="17"/>
                <w:lang w:eastAsia="es-AR"/>
              </w:rPr>
              <w:lastRenderedPageBreak/>
              <w:t>de Varsovia.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transporte aéreo es un medio cuya utilización se ha incrementado considerablemente por las ventajas que ofrece y por las exigencias modernas, el usuario del mismo se ve enfrentado a una amplia gama de situaciones que lo exponen, junto con el porteador o transportista, a circunstancias susceptibles de enmarcarse dentro de la denominada Responsabilidad Civil Aeronáutica, una de las formas que adopta la figura de la responsabilidad en el campo jurídico, tema sumamente complejo que en el presente ensayo será revisado sólo en algunos de sus múltiples aspectos.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usuario, sea pasajero (en el transporte aéreo de pasajeros y equipajes), remitente o destinatario (en el transporte aéreo de cargas registradas), así como sus causahabientes, tendrá derecho a reclamar ante el porteador, los daños sufridos y, si corresponde, obtener un resarcimiento, de acuerdo con lo estatuido por los tratados internacionales y la legislación interna vigentes en la materia.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Responsabilidad Civil Aeronáutica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introducirse en el tema de la responsabilidad es elemental comprender primeramente lo que es el daño, que constituye sin duda, su origen, su hecho generador. El Derecho Aeronáutico requiere en este punto del auxilio del Derecho Civil, cuyos preceptos conceptualizan al daño como el perjuicio derivado de una conducta considerada antijurídica.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ese sentido dice el Código Civil, en la primera parte de su Art. 1.835: “Existirá daño, siempre que se causare a otro algún perjuicio en su persona, en sus derechos o facultades, o en las cosas de su dominio o posesión”. En otras palabras, habrá daño siempre que se infrinja un menoscabo o deterioro en bienes materiales o, incluso, inmateriales.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modo ilustrativo se puede mencionar además que la responsabilidad aeronáutica puede ser administrativa, penal o civil, como se observa en el siguiente cuadro: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Administrativa: por violación de normas técnicas del </w:t>
            </w:r>
            <w:r w:rsidRPr="001B7F27">
              <w:rPr>
                <w:rFonts w:ascii="Arial" w:eastAsia="Times New Roman" w:hAnsi="Arial" w:cs="Arial"/>
                <w:color w:val="003399"/>
                <w:sz w:val="17"/>
                <w:szCs w:val="17"/>
                <w:lang w:eastAsia="es-AR"/>
              </w:rPr>
              <w:br/>
              <w:t>Derecho Aeronáutico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Responsabilidad aeronáutica Penal: por comisión de delitos comunes o aeronáuticos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Civil: por daños en el transporte aéreo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1.1. Clases de responsabilidad civil aeronáutica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responsabilidad civil aeronáutica puede ser, a su vez:</w:t>
            </w:r>
            <w:r w:rsidRPr="001B7F27">
              <w:rPr>
                <w:rFonts w:ascii="Arial" w:eastAsia="Times New Roman" w:hAnsi="Arial" w:cs="Arial"/>
                <w:color w:val="003399"/>
                <w:sz w:val="17"/>
                <w:szCs w:val="17"/>
                <w:lang w:eastAsia="es-AR"/>
              </w:rPr>
              <w:br/>
              <w:t xml:space="preserve">Contractual, si deriva de daños provenientes del incumplimiento o cumplimiento anormal de un contrato, tema de este artículo; </w:t>
            </w:r>
            <w:r w:rsidRPr="001B7F27">
              <w:rPr>
                <w:rFonts w:ascii="Arial" w:eastAsia="Times New Roman" w:hAnsi="Arial" w:cs="Arial"/>
                <w:color w:val="003399"/>
                <w:sz w:val="17"/>
                <w:szCs w:val="17"/>
                <w:lang w:eastAsia="es-AR"/>
              </w:rPr>
              <w:br/>
              <w:t xml:space="preserve">Extracontractual, si resulta de daños a terceros en la superficie: personas a las que no vincula ningún contrato con el transportista, pero son perjudicadas por la aeronave en vuelo por cosas o por personas caídas de él.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Contractual: por incumplimiento o cumplimiento deficiente </w:t>
            </w:r>
            <w:r w:rsidRPr="001B7F27">
              <w:rPr>
                <w:rFonts w:ascii="Arial" w:eastAsia="Times New Roman" w:hAnsi="Arial" w:cs="Arial"/>
                <w:color w:val="003399"/>
                <w:sz w:val="17"/>
                <w:szCs w:val="17"/>
                <w:lang w:eastAsia="es-AR"/>
              </w:rPr>
              <w:br/>
              <w:t xml:space="preserve">de un contrato </w:t>
            </w:r>
            <w:r w:rsidRPr="001B7F27">
              <w:rPr>
                <w:rFonts w:ascii="Arial" w:eastAsia="Times New Roman" w:hAnsi="Arial" w:cs="Arial"/>
                <w:color w:val="003399"/>
                <w:sz w:val="17"/>
                <w:szCs w:val="17"/>
                <w:lang w:eastAsia="es-AR"/>
              </w:rPr>
              <w:br/>
              <w:t>Responsabilidad civil</w:t>
            </w:r>
            <w:r w:rsidRPr="001B7F27">
              <w:rPr>
                <w:rFonts w:ascii="Arial" w:eastAsia="Times New Roman" w:hAnsi="Arial" w:cs="Arial"/>
                <w:color w:val="003399"/>
                <w:sz w:val="17"/>
                <w:szCs w:val="17"/>
                <w:lang w:eastAsia="es-AR"/>
              </w:rPr>
              <w:br/>
              <w:t>Aeronáutica</w:t>
            </w:r>
            <w:r w:rsidRPr="001B7F27">
              <w:rPr>
                <w:rFonts w:ascii="Arial" w:eastAsia="Times New Roman" w:hAnsi="Arial" w:cs="Arial"/>
                <w:color w:val="003399"/>
                <w:sz w:val="17"/>
                <w:szCs w:val="17"/>
                <w:lang w:eastAsia="es-AR"/>
              </w:rPr>
              <w:br/>
              <w:t>Extracontractual: por daños a terceros superficiarios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Cuando durante el transporte aéreo se producen daños a los usuarios, es decir a pasajeros, en su integridad física o en su equipaje registrado; o a expedidores, en la carga, nos encontramos ante la responsabilidad civil aeronáutica y, existiendo un contrato como nexo entre los pasajeros o expedidores y el transportista, dicha responsabilidad será de carácter contractual.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La otra operación que integra la aeronáutica comercial es el Trabajo Aéreo, definido como toda actividad aerocomercial que no sea transporte y realizada con ánimo de lucro. Como ejemplos se pueden mencionar la propaganda aérea, la fumigación aérea, la fotografía aérea, etc., debiendo realizarse todos mediante la suscripción de contratos.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nuevo Código Aeronáutico introdujo un Capítulo referente al Trabajo Aéreo, cubriendo así el vacío legal que existía en este tema, y aunque no contemple específicamente la responsabilidad para los daños surgidos en su transcurso, extiende al mismo las reglas generales sobre responsabilidad contenidas en dicho Código.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1.2. Duración del transporte a los efectos de la imputación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Según los Tratados Internacionales y el Código Aeronáutico, se entiende que la responsabilidad es imputable al transportista por daños a pasajeros, cuando éstos tuvieren lugar durante el transporte. En el caso del contrato de transporte aéreo de pasajeros, mientras éstos permanezcan en la aeronave, o durante las operaciones de embarque o desembarque.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embarque va desde que el pasajero abandona el lugar salida o terminal hasta que arribe a la aeronave; y el desembarque, desde que sale de ella hasta que llegue a la terminal.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Ante daños a equipaje, cargas o correo, el transporte abarca el lapso por el cual dichos elementos se encuentran bajo custodia del transportista o sus dependientes, sin interesar su ubicación.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normas sobre responsabilidad son aplicables al transporte remunerado y al gratuito, en servicios aéreos privados, si el porteador actúa con dolo o culpa grave.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1.3. Daños resarcibles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circunstancias que implican una lesión al derecho de los usuarios del transporte aéreo, tuteladas por el ordenamiento jurídico, son: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muerte o lesiones corporales o psíquicas o daños de cualquier índole al pasajero, cuando las mismas se encuentren directamente vinculadas al transporte; </w:t>
            </w:r>
            <w:r w:rsidRPr="001B7F27">
              <w:rPr>
                <w:rFonts w:ascii="Arial" w:eastAsia="Times New Roman" w:hAnsi="Arial" w:cs="Arial"/>
                <w:color w:val="003399"/>
                <w:sz w:val="17"/>
                <w:szCs w:val="17"/>
                <w:lang w:eastAsia="es-AR"/>
              </w:rPr>
              <w:br/>
              <w:t xml:space="preserve">La pérdida parcial o total y el deterioro del equipaje registrado, cargas y correo; </w:t>
            </w:r>
            <w:r w:rsidRPr="001B7F27">
              <w:rPr>
                <w:rFonts w:ascii="Arial" w:eastAsia="Times New Roman" w:hAnsi="Arial" w:cs="Arial"/>
                <w:color w:val="003399"/>
                <w:sz w:val="17"/>
                <w:szCs w:val="17"/>
                <w:lang w:eastAsia="es-AR"/>
              </w:rPr>
              <w:br/>
              <w:t>Los retrasos en el transporte; y,</w:t>
            </w:r>
            <w:r w:rsidRPr="001B7F27">
              <w:rPr>
                <w:rFonts w:ascii="Arial" w:eastAsia="Times New Roman" w:hAnsi="Arial" w:cs="Arial"/>
                <w:color w:val="003399"/>
                <w:sz w:val="17"/>
                <w:szCs w:val="17"/>
                <w:lang w:eastAsia="es-AR"/>
              </w:rPr>
              <w:br/>
              <w:t xml:space="preserve">La sobreventa de pasajes, cuando impida al pasajero viajar dentro de las doce horas posteriores a la fijada para su partida.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Ley aplicable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legislación aplicable a la obligación emergente del transportista varía conforme se trate de transporte interno, en cuyo caso se aplicará la ley nacional; o transporte internacional, que requiere la aplicación de instrumentos internacionales, en este caso, el Convenio de Varsovia de 1929, a ser sustituido por el Convenio de Montreal sobre Transporte Aéreo Internacional, desde el cumplimiento del requisito del depósito del trigésimo instrumento de ratificación del acuerdo y el transcurso de sesenta días corridos a partir de ese momento, conforme el inciso 6 del artículo 53 de dicho Convenio de Montreal.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nuestro caso particular, si los daños tienen lugar durante el transporte aéreo entre dos puntos de la República, aun cuando tenga lugar un aterrizaje forzoso en un país limítrofe, se apelará a las leyes nacionales. Mientras que si el traslado se verificara entre dos puntos, uno ubicado en el Paraguay y otro en un Estado también parte del Convenio, las normas competentes serán las internacionales, al igual que si el transporte se realizara de un lugar a otro de la República, pero con escala prevista en otro país signatario. De todas maneras, son similares las soluciones previstas en ambos casos, ya que el Código Aeronáutico sigue los lineamientos de los tratados aplicables a la cuestión.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 Sistema aplicable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materia de atribución de responsabilidad al transportista o porteador, rige el sistema subjetivo, que presume la culpa del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transportista, con excepción del caso de sobreventa de pasajes, se liberará si prueba:</w:t>
            </w:r>
            <w:r w:rsidRPr="001B7F27">
              <w:rPr>
                <w:rFonts w:ascii="Arial" w:eastAsia="Times New Roman" w:hAnsi="Arial" w:cs="Arial"/>
                <w:color w:val="003399"/>
                <w:sz w:val="17"/>
                <w:szCs w:val="17"/>
                <w:lang w:eastAsia="es-AR"/>
              </w:rPr>
              <w:br/>
              <w:t>Que medió culpa de la víctima;</w:t>
            </w:r>
            <w:r w:rsidRPr="001B7F27">
              <w:rPr>
                <w:rFonts w:ascii="Arial" w:eastAsia="Times New Roman" w:hAnsi="Arial" w:cs="Arial"/>
                <w:color w:val="003399"/>
                <w:sz w:val="17"/>
                <w:szCs w:val="17"/>
                <w:lang w:eastAsia="es-AR"/>
              </w:rPr>
              <w:br/>
              <w:t xml:space="preserve">Que él o sus dependientes tomaron todas las medidas posibles y previsibles para evitar el daño o que fue imposible tomarlas; </w:t>
            </w:r>
            <w:r w:rsidRPr="001B7F27">
              <w:rPr>
                <w:rFonts w:ascii="Arial" w:eastAsia="Times New Roman" w:hAnsi="Arial" w:cs="Arial"/>
                <w:color w:val="003399"/>
                <w:sz w:val="17"/>
                <w:szCs w:val="17"/>
                <w:lang w:eastAsia="es-AR"/>
              </w:rPr>
              <w:br/>
              <w:t>Que los daños a las cosas transportadas provienen de vicio propios de las mismas; o,</w:t>
            </w:r>
            <w:r w:rsidRPr="001B7F27">
              <w:rPr>
                <w:rFonts w:ascii="Arial" w:eastAsia="Times New Roman" w:hAnsi="Arial" w:cs="Arial"/>
                <w:color w:val="003399"/>
                <w:sz w:val="17"/>
                <w:szCs w:val="17"/>
                <w:lang w:eastAsia="es-AR"/>
              </w:rPr>
              <w:br/>
              <w:t>Que los daños fueron consecuencia de caso fortuito, fuerza mayor, hechos de terceros, actos de autoridad.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pretende de esta manera proteger a la parte estimada más débil en un contrato de transporte aéreo: el usuario, invirtiendo la carga de la prueba, que normalmente recae sobre quien alega hechos. Por aplicación del sistema subjetivo, es el porteador quien debe demostrar la existencia de alguna causal de eximición.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otro sistema es el objetivo, consagrado por el Convenio de Roma de 1952, sobre Daños Causados a Terceros en la Superficie por Aeronaves Extranjeras. Se basa en el riesgo creado por la aeronavegación y en que terceros desvinculados del transporte, no tienen porqué cargar con las consecuencias negativas de la actividad aerocomercial, que genera ganancias al explotador.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sistema, la víctima sólo debe probar la ocurrencia del daño. No se tiene en cuenta la conducta del transportista, en cuanto a si medió o no culpa de su parte.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ítem no cae bajo la extensión de “daños al usuario”, por lo que no corresponde su análisis en este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Sujeto pasivo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parte obligada a reparar, es el transportista, que, como se señaló antes, podrá liberarse si prueba la concurrencia de causales de eximición. Cabe recordar que el transportador es responsable también si los daños son ocasionados por sus dependientes en ejercicio de sus funciones.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Convenios de Varsovia y de Montreal, expresamente habilitan a ejercer la acción de responsabilidad contra los causahabientes del transportista, si éste fallece.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casos de transportes sucesivos (realizado por varios transportadores aéreos), el contrato se extiende a todos ellos y responde aquél durante cuyo servicio se produce el daño, salvo que se haya pactado la responsabilidad exclusiva del primero.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cuanto a los transportes combinados (con participación de otros medios de comunicación), las reglas legisladas sobre responsabilidad, serán aplicables sólo al transporte aéreo, sin perjuicio de que las partes inserten en el documento de transporte aéreo, condiciones acerca de los otros medios de transporte utilizados. </w:t>
            </w:r>
            <w:r w:rsidRPr="001B7F27">
              <w:rPr>
                <w:rFonts w:ascii="Arial" w:eastAsia="Times New Roman" w:hAnsi="Arial" w:cs="Arial"/>
                <w:color w:val="003399"/>
                <w:sz w:val="17"/>
                <w:szCs w:val="17"/>
                <w:lang w:eastAsia="es-AR"/>
              </w:rPr>
              <w:br/>
              <w:t>Hoy día es frecuente que el transportista parte del contrato de transporte, no sea el que efectivamente ejecute el traslado. Por razones prácticas y a al efecto de cubrir más eficientemente las diferentes rutas, se recurre al transportista de hecho, terminología introducida en el ámbito aeronáutico por el Convenio de Guadalajara de 1961 y recogida por los nuevos convenios, y que se refiere a aquél que, sin ser el transportista con quien contratara el usuario, fuere autorizado por el transportista contractual, para realizar el transporte. La regulación sobre responsabilidad del transportista contractual también alcanza al de hecho, siendo ambos solidarios.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Ejercicio de la acción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usuarios y sus sucesores, en su caso, podrán ejercer la acción resarcitoria dentro del plazo de un año desde la llegada a destino, desde el día que debió llegar la aeronave, desde la detención del transporte o desde la declaración de desaparición con presunción de fallecimiento del pasajero.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 requisito esencial si se reclama daños al equipaje o a la carga, o retraso en la entrega de los mismos, haber realizado en tiempo la respectiva protesta, salvo que hubiere mediado dolo o fraude del porteador, en cuyo caso puede obviarse.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protesta documenta la reclamación del usuario ante la avería o retraso de las cosas transportadas y se formula por escrito, dentro de los 7 días, para el equipaje y 14 días, para la carga.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Límites a las sumas de indemnización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6.1. Fundamentos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contrapartida a la presunción de culpa del transportista y a fin de precautelar la subsistencia de la actividad comercial aeronáutica, tanto en los instrumentos internacionales como en los nacionales, están previstos límites en la fijación de las cantidades debidas en concepto de indemnización en caso de daños en el transporte aéreo.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restricción se ha establecido en atención a la necesidad de proteger una actividad económica y socialmente relevante como lo es la aeronavegación comercial y cobra todavía mayor relevancia en la actualidad, luego de los </w:t>
            </w:r>
            <w:r w:rsidRPr="001B7F27">
              <w:rPr>
                <w:rFonts w:ascii="Arial" w:eastAsia="Times New Roman" w:hAnsi="Arial" w:cs="Arial"/>
                <w:color w:val="003399"/>
                <w:sz w:val="17"/>
                <w:szCs w:val="17"/>
                <w:lang w:eastAsia="es-AR"/>
              </w:rPr>
              <w:lastRenderedPageBreak/>
              <w:t>atentados de setiembre de 2001 en los Estados Unidos de Norteamérica, que cambiaron definitivamente la perspectiva de la aeronavegación comercial, dejándola sumamente debilitada y con la certeza de que sus efectos seguirán percibiéndose por largo tiempo.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6.2. Montos máximos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limitación a la responsabilidad del porteador se traduce en la fijación de montos máximos de indemnización a los que aquéllos están obligados. El Convenio de Varsovia de 1929 y su Protocolo de La Haya de 1955, los fijaron en francos Poincaré, moneda expresada en oro (equivalía a 65 ½ miligramos de oro de 900 milésimo de fino), que podía convertirse a las monedas locales.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cantidades establecidas han ido variando a través de las modificaciones al Convenio de Varsovia, ajustándose a las nuevas necesidades y permitiendo la adaptación y supervivencia del instrumento internacional. Este fijó 125.000 francos por lesión o muerte del pasajero, el Protocolo de La Haya, duplicó esa suma, pero mantuvo los 250 francos por kilo de equipaje registrado o mercancía y los 5.000 francos por pasajero en el caso de l equipaje de mano, determinados por Varsovia.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Una situación especial se originó como consecuencia de un acuerdo entre líneas aéreas, signado en Montreal en 1965, por el que los prestadores de servicios aéreos en los Estados Unidos estipularon una indemnización de 75.000 ó 58.000 dólares americanos por pasajero, según se contemple o no en dicha indemnización, las costas del litigio. En la práctica eso implica la elevación de los montos si la aeronave tiene como punto de partida, de escala o de destino, territorio estadounidense.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su parte, el Convenio de Guatemala de 1971 pretendió enmendar los acuerdos de Varsovia y La Haya y estableció montos muy superiores, pero no ha entrado en vigencia, por falta de ratificaciones.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Convenio de Montreal de 1999, ya mencionado, establece nuevos montos máximos para los daños a pasajeros, al equipaje o carga o por retraso. Utiliza como referencia el “derecho especial de giro”, unidad definida por el Fondo Monetario Internacional, en los Estados miembros del mismo y que debe calcularse a la fecha de la respectiva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oportuna innovación del Convenio de Montreal, es la revisión de los límites, que permite la actualización de estos cada 5 años, sobre la base del índice de inflación. El plazo podrá ser inferior si un tercio de los Estados Partes lo solicitan y el índice de inflación hubiere sido mayor a 30% desde la última revisión.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nuevo Código Aeronáutico innovó con respecto al anterior, al valerse de jornales mínimos como parámetro de fijación, los que se aplicarán para los transportes nacionales y para los internacionales, a falta de Tratados.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responsabilidad por daños a pasajeros se limita a 15.000 jornales mínimos; por daños a equipajes registrados y cargas, a 3,5 jornales mínimos por kilogramo, salvo declaración especial de valor; por daños a equipaje de mano, a 30 jornales mínimos y por retraso o sobreventa de pasajes, a 30 jornales mínimos o el precio del billete.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partes en el contrato pueden pactar sumas mayores, mediante acuerdo especial.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6.3. Franqueabilidad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límites pueden ser rebasados si el transportista o sus dependientes, en ejercicio de sus funciones, obran con dolo o temeridad: esto es, con intención de causar daño o exponiendo al vuelo a peligros merced a una conducta desaprensiva, sabiendo que podía ocasionar daños; o cuando se hubiere pactado expresamente una responsabilidad mayor.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bien los montos son llamados máximos, pueden fijarse límites superiores, en el transporte de pasajeros, mediante acuerdo entre las partes y en el transporte de equipaje y cargas, por la declaración previa del usuario acerca del valor de los objetos y el pago de una tasa suplementaria.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Protocolo de La Haya de 1955 modificando al Convenio de Varsovia, agregó la facultad del Tribunal que entienda en un juicio a este respecto, de fijar una suma más elevada, atendiendo no solo al valor del bien tutelado, sino además a los gastos del litigio.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cambio introducido por La Haya arriba mencionado, respondió a la necesidad de cubrir las costas de los juicios, que en países como Estados Unidos se incluyen dentro de los daños. Sin embargo, justamente Estados Unidos no ratificó dicho Protocolo.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El Convenio de Montreal de 1999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Por Ley No. 1.627 del 29 de diciembre de 2000, fue aprobado por nuestro país el Convenio de Montreal sobre Transporte Aéreo Internacional, suscrito en dicha ciudad, el 28 de mayo de 1999.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Conforme la información de la Organización de la Aviación Civil Internacional (OACI), publicada en su Página Web ( www.icao.org ), este acuerdo no ha entrado en vigor aún, dado que no se han cumplido los requisitos de las 30 ratificaciones y el transcurso de 60 días luego de la última ratificación.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Convenio reconoce en su parte introductoria “la necesidad de modernizar y refundir el Convenio de Varsovia y los instrumentos conexos” y “la importancia de asegurar la protección de los intereses de los usuarios del transporte aéreo internacional y la necesidad de una indemnización equitativa fundada en el principio de restitución”.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7.1. Breve comparación entre el Convenio de Montreal y el de Varsovia: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primera diferencia se observa en cuanto a la división de los Capítulos y la denominación específica de cada artículo, que previene sobre aquello que regula.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Ámbito de aplicación: </w:t>
            </w:r>
            <w:r w:rsidRPr="001B7F27">
              <w:rPr>
                <w:rFonts w:ascii="Arial" w:eastAsia="Times New Roman" w:hAnsi="Arial" w:cs="Arial"/>
                <w:color w:val="003399"/>
                <w:sz w:val="17"/>
                <w:szCs w:val="17"/>
                <w:lang w:eastAsia="es-AR"/>
              </w:rPr>
              <w:br/>
              <w:t>Es el mismo que el de Varsovia y se extiende al transportista de hecho.</w:t>
            </w:r>
            <w:r w:rsidRPr="001B7F27">
              <w:rPr>
                <w:rFonts w:ascii="Arial" w:eastAsia="Times New Roman" w:hAnsi="Arial" w:cs="Arial"/>
                <w:color w:val="003399"/>
                <w:sz w:val="17"/>
                <w:szCs w:val="17"/>
                <w:lang w:eastAsia="es-AR"/>
              </w:rPr>
              <w:br/>
              <w:t>Transportes postales: agrega la responsabilidad del transportista ante la administración postal correspondiente.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Documentación: </w:t>
            </w:r>
            <w:r w:rsidRPr="001B7F27">
              <w:rPr>
                <w:rFonts w:ascii="Arial" w:eastAsia="Times New Roman" w:hAnsi="Arial" w:cs="Arial"/>
                <w:color w:val="003399"/>
                <w:sz w:val="17"/>
                <w:szCs w:val="17"/>
                <w:lang w:eastAsia="es-AR"/>
              </w:rPr>
              <w:br/>
              <w:t>Reúne en un mismo Capítulo las disposiciones sobre documentación y efectos de los contratos de transporte de pasajeros, equipaje y carga.</w:t>
            </w:r>
            <w:r w:rsidRPr="001B7F27">
              <w:rPr>
                <w:rFonts w:ascii="Arial" w:eastAsia="Times New Roman" w:hAnsi="Arial" w:cs="Arial"/>
                <w:color w:val="003399"/>
                <w:sz w:val="17"/>
                <w:szCs w:val="17"/>
                <w:lang w:eastAsia="es-AR"/>
              </w:rPr>
              <w:br/>
              <w:t xml:space="preserve">Responsabilidad del transportista: </w:t>
            </w:r>
            <w:r w:rsidRPr="001B7F27">
              <w:rPr>
                <w:rFonts w:ascii="Arial" w:eastAsia="Times New Roman" w:hAnsi="Arial" w:cs="Arial"/>
                <w:color w:val="003399"/>
                <w:sz w:val="17"/>
                <w:szCs w:val="17"/>
                <w:lang w:eastAsia="es-AR"/>
              </w:rPr>
              <w:br/>
              <w:t>Desdobla el art. 18.1 de Varsovia y trata por separado los daños a equipaje facturado y a la carga y define el transporte aéreo sólo para el caso de la carga. Agrega la eximición del transportista por: vicio propio del equipaje o de la carga (incluido por el Protocolo de La Haya), daños por actos de guerra o conflicto armado o acto de autoridad pública.</w:t>
            </w:r>
            <w:r w:rsidRPr="001B7F27">
              <w:rPr>
                <w:rFonts w:ascii="Arial" w:eastAsia="Times New Roman" w:hAnsi="Arial" w:cs="Arial"/>
                <w:color w:val="003399"/>
                <w:sz w:val="17"/>
                <w:szCs w:val="17"/>
                <w:lang w:eastAsia="es-AR"/>
              </w:rPr>
              <w:br/>
              <w:t>Establece la culpa de la víctima como única causal de eximición del transportista para todos los tipos de daños en el transporte y la previsión para evitar el daño, sólo para el caso de retardo.</w:t>
            </w:r>
            <w:r w:rsidRPr="001B7F27">
              <w:rPr>
                <w:rFonts w:ascii="Arial" w:eastAsia="Times New Roman" w:hAnsi="Arial" w:cs="Arial"/>
                <w:color w:val="003399"/>
                <w:sz w:val="17"/>
                <w:szCs w:val="17"/>
                <w:lang w:eastAsia="es-AR"/>
              </w:rPr>
              <w:br/>
              <w:t>En el daño a pasajeros, la indemnización no sobrepasará los límites fijados si prueba que no hubo negligencia de él o sus dependientes o que el daño se debió a un tercero.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Dispone que, si la ley nacional lo exige, en caso de lesiones o muerte de pasajeros, el transportista haga pagos adelantados sin demora a la persona afectada, para cubrir necesidades inmediatas, sin que ello constituya reconocimiento de responsabilidad, pudiendo las sumas ser deducidas de las indemnizaciones abonadas.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Montos: nos remitimos a lo ya comentado antes.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Controversias:</w:t>
            </w:r>
            <w:r w:rsidRPr="001B7F27">
              <w:rPr>
                <w:rFonts w:ascii="Arial" w:eastAsia="Times New Roman" w:hAnsi="Arial" w:cs="Arial"/>
                <w:color w:val="003399"/>
                <w:sz w:val="17"/>
                <w:szCs w:val="17"/>
                <w:lang w:eastAsia="es-AR"/>
              </w:rPr>
              <w:br/>
              <w:t>Abre la interesante posibilidad de que los litigios sean sometidos a Arbitraje para los daños en el transporte de cargas, mediante acuerdo escrito. Deja abierta la posibilidad de que el responsable ejerza una acción regresiva contra terceros.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Transportista de hecho:</w:t>
            </w:r>
            <w:r w:rsidRPr="001B7F27">
              <w:rPr>
                <w:rFonts w:ascii="Arial" w:eastAsia="Times New Roman" w:hAnsi="Arial" w:cs="Arial"/>
                <w:color w:val="003399"/>
                <w:sz w:val="17"/>
                <w:szCs w:val="17"/>
                <w:lang w:eastAsia="es-AR"/>
              </w:rPr>
              <w:br/>
              <w:t>Le dedica todo un Capítulo, aplicándole normas similares a las del transportista contractual.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Seguro: </w:t>
            </w:r>
            <w:r w:rsidRPr="001B7F27">
              <w:rPr>
                <w:rFonts w:ascii="Arial" w:eastAsia="Times New Roman" w:hAnsi="Arial" w:cs="Arial"/>
                <w:color w:val="003399"/>
                <w:sz w:val="17"/>
                <w:szCs w:val="17"/>
                <w:lang w:eastAsia="es-AR"/>
              </w:rPr>
              <w:br/>
              <w:t>Introduce la importante obligación de que los Estados exijan a los transportistas, que constituyan seguros de responsabilidad suficientes.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Orden de prelación:</w:t>
            </w:r>
            <w:r w:rsidRPr="001B7F27">
              <w:rPr>
                <w:rFonts w:ascii="Arial" w:eastAsia="Times New Roman" w:hAnsi="Arial" w:cs="Arial"/>
                <w:color w:val="003399"/>
                <w:sz w:val="17"/>
                <w:szCs w:val="17"/>
                <w:lang w:eastAsia="es-AR"/>
              </w:rPr>
              <w:br/>
              <w:t>Se impone sobre toda regla aplicable al transporte aéreo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Bauzá Araujo, Alvaro. Tratado de Derecho Aeronáutico. Montevideo, 1981.</w:t>
            </w:r>
            <w:r w:rsidRPr="001B7F27">
              <w:rPr>
                <w:rFonts w:ascii="Arial" w:eastAsia="Times New Roman" w:hAnsi="Arial" w:cs="Arial"/>
                <w:color w:val="003399"/>
                <w:sz w:val="17"/>
                <w:szCs w:val="17"/>
                <w:lang w:eastAsia="es-AR"/>
              </w:rPr>
              <w:br/>
              <w:t>Chami, Diego Esteban. La Protesta Aeronáutica. Teoría y Práctica. Buenos Aires, 1989.</w:t>
            </w:r>
            <w:r w:rsidRPr="001B7F27">
              <w:rPr>
                <w:rFonts w:ascii="Arial" w:eastAsia="Times New Roman" w:hAnsi="Arial" w:cs="Arial"/>
                <w:color w:val="003399"/>
                <w:sz w:val="17"/>
                <w:szCs w:val="17"/>
                <w:lang w:eastAsia="es-AR"/>
              </w:rPr>
              <w:br/>
              <w:t>Podestá Costa y José M. Ruda. Derecho Internacional Público. Buenos Aires, 1988</w:t>
            </w:r>
            <w:r w:rsidRPr="001B7F27">
              <w:rPr>
                <w:rFonts w:ascii="Arial" w:eastAsia="Times New Roman" w:hAnsi="Arial" w:cs="Arial"/>
                <w:color w:val="003399"/>
                <w:sz w:val="17"/>
                <w:szCs w:val="17"/>
                <w:lang w:eastAsia="es-AR"/>
              </w:rPr>
              <w:br/>
              <w:t>Videla Escalada, Federico. Manual de Derecho Aeronáutico. Buenos Aires, 1993.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LEYES</w:t>
            </w:r>
            <w:r w:rsidRPr="001B7F27">
              <w:rPr>
                <w:rFonts w:ascii="Arial" w:eastAsia="Times New Roman" w:hAnsi="Arial" w:cs="Arial"/>
                <w:color w:val="003399"/>
                <w:sz w:val="17"/>
                <w:szCs w:val="17"/>
                <w:lang w:eastAsia="es-AR"/>
              </w:rPr>
              <w:br/>
              <w:t>Convenio de Varsovia de 1929</w:t>
            </w:r>
            <w:r w:rsidRPr="001B7F27">
              <w:rPr>
                <w:rFonts w:ascii="Arial" w:eastAsia="Times New Roman" w:hAnsi="Arial" w:cs="Arial"/>
                <w:color w:val="003399"/>
                <w:sz w:val="17"/>
                <w:szCs w:val="17"/>
                <w:lang w:eastAsia="es-AR"/>
              </w:rPr>
              <w:br/>
              <w:t>Protocolo de La Haya de 1955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Convenio de Guadalajara de 1961</w:t>
            </w:r>
            <w:r w:rsidRPr="001B7F27">
              <w:rPr>
                <w:rFonts w:ascii="Arial" w:eastAsia="Times New Roman" w:hAnsi="Arial" w:cs="Arial"/>
                <w:color w:val="003399"/>
                <w:sz w:val="17"/>
                <w:szCs w:val="17"/>
                <w:lang w:eastAsia="es-AR"/>
              </w:rPr>
              <w:br/>
              <w:t>Convenio de Guatemala de 1971</w:t>
            </w:r>
            <w:r w:rsidRPr="001B7F27">
              <w:rPr>
                <w:rFonts w:ascii="Arial" w:eastAsia="Times New Roman" w:hAnsi="Arial" w:cs="Arial"/>
                <w:color w:val="003399"/>
                <w:sz w:val="17"/>
                <w:szCs w:val="17"/>
                <w:lang w:eastAsia="es-AR"/>
              </w:rPr>
              <w:br/>
              <w:t>Protocolos de Montreal de 1975</w:t>
            </w:r>
            <w:r w:rsidRPr="001B7F27">
              <w:rPr>
                <w:rFonts w:ascii="Arial" w:eastAsia="Times New Roman" w:hAnsi="Arial" w:cs="Arial"/>
                <w:color w:val="003399"/>
                <w:sz w:val="17"/>
                <w:szCs w:val="17"/>
                <w:lang w:eastAsia="es-AR"/>
              </w:rPr>
              <w:br/>
              <w:t>Protocolo de Montreal de 1999</w:t>
            </w:r>
            <w:r w:rsidRPr="001B7F27">
              <w:rPr>
                <w:rFonts w:ascii="Arial" w:eastAsia="Times New Roman" w:hAnsi="Arial" w:cs="Arial"/>
                <w:color w:val="003399"/>
                <w:sz w:val="17"/>
                <w:szCs w:val="17"/>
                <w:lang w:eastAsia="es-AR"/>
              </w:rPr>
              <w:br/>
              <w:t>Código Aeronáutico de la República.</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4"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1" w:name="11"/>
            <w:bookmarkEnd w:id="11"/>
            <w:r w:rsidRPr="001B7F27">
              <w:rPr>
                <w:rFonts w:ascii="Arial" w:eastAsia="Times New Roman" w:hAnsi="Arial" w:cs="Arial"/>
                <w:b/>
                <w:bCs/>
                <w:color w:val="009933"/>
                <w:sz w:val="20"/>
                <w:szCs w:val="20"/>
                <w:lang w:eastAsia="es-AR"/>
              </w:rPr>
              <w:t>"Eficacia Jurídica de la Declaración Sociolabora del MERCOSUR en Paraguay"</w:t>
            </w:r>
            <w:r w:rsidRPr="001B7F27">
              <w:rPr>
                <w:rFonts w:ascii="Arial" w:eastAsia="Times New Roman" w:hAnsi="Arial" w:cs="Arial"/>
                <w:color w:val="003399"/>
                <w:sz w:val="17"/>
                <w:szCs w:val="17"/>
                <w:lang w:eastAsia="es-AR"/>
              </w:rPr>
              <w:br/>
              <w:t>Ramiro Barboza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Derechos Humanos e Internacional Humanitario</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5"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SUMARIO: 1.- Introducción. 2.- Superioridad del Derecho Internacional. 3.- Valor jurídico de la Declaración Universal. 4.- Formas de Protección de los Derechos Humanos. 5.- Operatividad de las normas laborales en la Constitución. 6.- Estrategias para una mayor eficacia constitucional. 7.- Catálogos de Principios contenidos en la Declaración.- 8.- El Artículo 45 de la Constitución Nacional. 9.- Casos prácticos de referencia de la Declaración en Paraguay. 10.- Consideraciones finales.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presente estudio se orienta al análisis de la “Declaración Socio Laboral del MERCOSUR”, en el sentido de establecer si el contenido de dicho documento puede tener aplicación directa a través de los operadores jurídicos (magistrados, profesionales abogados, etc.), o si ellas se reducen a un simple catálogo de normas meramente programáticas, que requieren de una legislación posterior que permita su observancia; especialmente conforme a los avances registrados en la materia en el Paraguay, como país integrante del MERCOSUR y por tanto, firmante del Tratado de Asunción.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este fin, se realizará un análisis de la situación de los Derechos Humanos en el país; el valor jurídico que le acuerdan los Tribunales a las Declaraciones referentes a los Derechos Humanos; su mecanismo de protección conforme a los lineamientos constitucionales vigentes, así como la normativa que les rige, y el valor que la Corte Suprema de Justicia les acuerda, para finalmente determinar los parámetros por los cuales puede considerarse que la mencionada Declaración resulta plenamente auto ejecutables en varias de sus disposiciones.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La superioridad del Derecho internacional y la mayor jerarquía de las Declaraciones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sociedades humanas sienten la necesidad de plasmar en normas legales los valores éticos y sociales por las cuales quieren regirse. El surgimiento de la protección de los Derechos Humanos es un claro reflejo de ese fenómeno. El respeto a la dignidad humana, idea básica sobre la cual se funda este derecho, creció a lo largo de los años hasta alcanzar un consenso de tal magnitud que se hizo imprescindible su expresión en normas legales, con el fin de proteger eficazmente a la persona humana frente a los actos que la volaban. “A nivel internacional el conjunto de estas normas legales a dado en llamarse Derecho Internacional de los Derechos Humanos, que mantiene una primacía del orden internacional sobre el interno, por lo cual es improcedente invocar normas internas como justificación del incumplimiento de las obligaciones internacionales (Art. 26 y 27 de la Convención de Viena sobre Derecho de los Tratados)”, tal como lo sostiene el Dr. Oscar Ermida.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algún modo, las normas constitucionales que en muchos países (Argentina, Chile, Paraguay, Colombia, etc.) </w:t>
            </w:r>
            <w:r w:rsidRPr="001B7F27">
              <w:rPr>
                <w:rFonts w:ascii="Arial" w:eastAsia="Times New Roman" w:hAnsi="Arial" w:cs="Arial"/>
                <w:color w:val="003399"/>
                <w:sz w:val="17"/>
                <w:szCs w:val="17"/>
                <w:lang w:eastAsia="es-AR"/>
              </w:rPr>
              <w:lastRenderedPageBreak/>
              <w:t>reconocen a texto expreso la supra legalidad y/o constitucionalidad de los tratados, se inscriben en esta línea. Este criterio, que en principio se refiere solo a los tratados ratificados, se acentúa en el ámbito de los derechos humanos, respecto de los cuales se llega a sostener la eficacia de los instrumentos internacionales específicos incluso con independencia de su ratificación. Hay ejemplos evidentísimos: la Declaración Universal de Derechos humanos de la ONU de 1948, la Declaración Americana de Derechos y Deberes del mismo año y la Declaración de la OIT sobre Principios y Derechos Fundamentales en el trabajo, de 1998, que obligan a los Estados miembros más allá de cualquier ratificación o acto nacional de incorporación o reconocimiento”, sigue afirmando Oscar Ermida, en su interesante estudio sobre el tema.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Entendemos que el valor jurídico que se le otorga a las Declaraciones es muy superior a lo que con anterioridad se sostenía respecto a la primacía del derecho interno. Tal como se verá más adelante, la Declaración Universal de los Derechos Humanos, constituye sin lugar a dudas en fuente importante de la normativa legal interna, así como de las decisiones más transcendentes de las Cortes nacionales sobre los principios considerados en dicho instrumento.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pregunta el Dr. Ermida si igual tratamiento debiera dispensarse a la Declaración Socio Laboral de la región sosteniendo que “Si se atiende a sus considerandos ya referidos, según los cuales la Declaración merco sureña se integra con una serie de Declaraciones, pactos y convenciones que -según esos mismos considerandos- ya obligan a los Estados partes del MERCOSUR a pesar de que algunas de ellas no han sido ratificadas o no están sujetas a ratificación, parece casi necesario reconocer que esta Declaración plasma y reconoce la imperatividad de las grandes Declaraciones de Derechos, al margen de los actos nacionales de reconocimiento, ratificación o desarrollo interno.” Y que “Otro argumento podría sumarse en el mismo sentido. Relativamente poco tiempo después de la adopción de la Declaración Sociolaboral del MERCOSUR, el 30 de junio de 2000, los Jefes de Estado aprobaron la Carta de Buenos Aires sobre Compromiso Social en el MERCOSUR, con un contenido meramente programático, sin cláusulas auto ejecutables. El haber dado a este nuevo instrumento la denominación de “Carta”, prescindiendo ahora de la de “Declaración”, indicarían el diferente carácter de ambos documentos: exigible el de l998, de conformidad con la naturaleza de sus disposiciones, meramente programático el de 2000, en consonancia con la de sus cláusulas.”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caso paraguayo pareciera que estas consideraciones, se hallan fundadas en argumentos suficientes para justificar su aplicabilidad judicial directa, tal como pasamos analizarlo seguidamente.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Valor jurídico de la Declaración Universal de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Naciones Unidas vienen señalando que desde su aprobación en el año 1948 la Declaración Universal de Derechos Humanos viene ocupando una posición singular como principio internacional “por el que todos los pueblos y naciones deben esforzarse”; y su autoridad fue aceptada tanto por los países que la suscribieron como por aquellos que no lo hicieron. Inspiraron varios otros tratados internacionales; ejercieron influencia importante en varios tratados multilaterales y regionales y tuvo gran trascendencia como base para la elaboración de numerosas Constituciones nacionales y legislaciones internas.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este modo la Declaración llegó a ser aceptada como un código de conducta y como patrón para medir el grado de respeto y aplicación de las normas internacionales sobre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en el Preámbulo del Pacto de Derechos Económicos Sociales y Culturales, se declara que esta basado en el reconocimiento del hecho de que “con arreglo a la Declaración Universal, no puede realizarse el ideal de ser humano libre, liberado del temor y de la miseria, a menos que se creen condiciones que permitan a cada persona gozar de sus derechos económicos, sociales y culturales, tanto como de sus derechos civiles y políticos”.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jueces de la Corte internacional de Justicia han invocado los principios contenidos en la Declaración Universal como fundamento de sus opiniones, en numerosos caso sometidos a su consideración; y también los jueces nacionales han citado frecuentemente los principios establecidos en la Declaración. En los últimos tiempos los textos constitucionales más avanzados contemplan cada vez más medidas de protección jurídica para estos principios, y muchas legislaciones nacionales se limitan a reproducir o toman como modelo la Declaración Universal. En el caso concreto de Paraguay, además de la Constitución de 1992, el propio Código del Trabajo en su Artículo 3º. Dispone: “Las leyes que lo establecen obligan y benefician a todos los trabajadores sean nacionales o extranjeros y se inspiran en los principios contenidos en la Declaración Universal de los Derechos Humanos aprobada y proclamada por la Asamblea General de las Naciones Unidas del 10 de Diciembre de 1948, la Declaración Americana de los Derechos y Deberes dl Hombre, proclamada por la novena Conferencia Panamericana de Bogotá el día 2 de mayo de 1948, y demás convenios Internacionales del trabajo ratificados y canjeados por el Paraguay que integran el derecho positivo”; que interpretando adecuadamente, hace que la Declaración Universal y la Americana integren el ordenamiento jurídico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lo más significativo constituye el hecho de que la propia Corte Suprema de Justicia, haya fundamentado sus decisiones en numerosas oportunidades, tales como el Fallo No. 180 del 28 de mayo de 1996, cuando dice : “Y el caso que ha constituido materia de este amparo ilustra acabadamente estas concepciones radicalmente opuestas: la </w:t>
            </w:r>
            <w:r w:rsidRPr="001B7F27">
              <w:rPr>
                <w:rFonts w:ascii="Arial" w:eastAsia="Times New Roman" w:hAnsi="Arial" w:cs="Arial"/>
                <w:color w:val="003399"/>
                <w:sz w:val="17"/>
                <w:szCs w:val="17"/>
                <w:lang w:eastAsia="es-AR"/>
              </w:rPr>
              <w:lastRenderedPageBreak/>
              <w:t>democrática y la autocrática. El amparo ha sido rechazado en instancias anteriores so pretexto de que se debía contar con “permisos” y de que en caso de no contar con este requisito administrativo se debía ocurrir por la vía de lo contencioso o cualquier otro para revocar cualquier denegatoria. Semejante concepción repugnan al buen orden democrático. El derecho de reunión (a que alude el fallo) , sin violentar e orden público de convivencia ciudadana, no puede ser preterido por ninguna supuesta “autoridad” ya que carece de competencia alguna para poner trabas o cortapisas a un derecho reconocido –no otorgado ni autorizado- nada menos que por la Declaración Universal de los Derecho Humanos del 10 de diciembre de 1948 de las Naciones Unidas. El único limite elemental de los derechos de terceros. Peor si este derecho de terceros, no se entorpece ni se traba, tanto más que la reunión en cuestión era realizada en un local cerrado, no existiendo en la tierra nadie que pudiera prohibirlo, ya que los derechos humano no dependen de nadie para su vigencia”. O como lo hace también en el Fallo No. 160 del 8 de abril de 1997 cuando dice. “En este orden de consideraciones, creo oportuno resaltar que toda la normativa constitucional se sustenta en una afirmación de principio, acorde con el desarrollo de la civilización contemporánea, la cual es la afirmación contenida en su preámbulo de que todas las previsiones en la constitución, reconocen como fundamento, la dignidad de la persona humana. Por su puesto que con ello no se realiza ninguna innovación. Ya en el preámbulo de la Declaración Universal del los Derechos del Hombre, sancionadas por la Naciones Unidas el 10 de diciembre de 1948, se lee: considerando que la libertad, la justicia y la paz en el mundo tiene como base el reconocimiento de la dignidad intrínseca y de los derechos de todos los miembros de la familia humana...”; concordante con lo sostenido en la Ac. y Sent. No. 356 de agosto de 1996, que se menciona más adelante, así como otras citas mencionadas frecuentemente por la Corte Suprema.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Formas de protección de los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Derechos Humanos tal como se entienden hoy día, tienen un clasificación tradicional en: 1) Derechos Civiles y Políticos; 2) Económicos sociales y Culturales; y 3) los llamados Derechos de Solidaridad o Derechos Colectivos.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sostiene que para los primeros (derecho a la vida, al debido proceso, a la libertad de asociación, al de asamblea y reunión, etc.) que constituyen el ámbito de autonomía de la persona deben permanecer libre de interferencias por parte del Estado, y por tanto, exigen la abstención de éste. Mientras que para los Económicos, sociales y culturales (educación, trabajo, vivienda, etc.) por el contrario son respetados y garantizados por el Estado a través de acciones positivas; y que los Derechos de Solidaridad (el derecho al medio ambiente libre de contaminación, el derecho al desarrollo, a la paz, etc.), exige no solo intervención del Estado, sino también la solidaridad de la comunidad. “Sin embargo, esta simplificación de lo que implican los derechos humanos para el Estado o la sociedad, difícilmente resiste un análisis y cada vez es más criticada y abandonada por la doctrina”, según lo sostiene Cecilia Medina en su obra “Derecho Internacional de los Derechos Humanos” , publicado por el Instituto Holandés de Derechos Humanos, 1990. Pág. 14.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principio fundamental cabe señalar que, los derechos humanos consagrados en los distintos catálogos internacionales configuran los diversos aspectos de la dignidad humana que necesitan ser protegidos en un momento dado de la historia. Lo universal entonces, es la protección de esa dignidad, lo relativo, la forma que esa protección asume en determinadas circunstancias.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Ambas categorías gozan del mismo interés e importancia, ya que todos los Derechos Humanos constituyen un complejo integral, único e indivisible encontrándose necesariamente interrelacionados. Solo el reconocimiento integral de estos derechos pueden asegurar la existencia real de cada uno de ellos, ya que sin la efectividad del goce de los derechos económicos, sociales y culturales, los derechos civiles y políticos se reducen a meras categorías formales. Pero a la inversa, sin la realidad de los derechos civiles y políticos, sin la efectividad de la libertad entendida en su más amplio sentido, los derechos económicos, sociales y culturales carecen, a su vez de verdadera significación.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Tan cierto resulta todo esto, que después de recuperar las libertades en el Paraguay (1989) , con la vigencia de los derechos civiles y políticos, emergen a la superficie de nuestra realidad, las cuestiones económicas, sociales y culturales, como el problema de la tierra y los campesinos, los trabajadores y los sindicatos, la mujer, la salud, la educación, etc. que exigen una rápida y efectiva solución y que indudablemente no pueden quedar al margen de la preocupación de la sociedad.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 por ello, que si nos limitamos a tomar al pié de la letra la clasificación previamente señalada, los derechos humanos económicos sociales y culturales que supuestamente requieren de acciones positivas por parte del Estado, y que integran la Declaración Socio Laboral del MERCOSUR, difícilmente pudiera ser auto ejecutable, ya que la obligación del Estado requiere de medidas positivas tomas por éste. Sin embargo, no existen dudas de que las “Normas Individuales” previstas en la Declaración como el de la no discriminación, o la igualdad de trato, o el trabajo infantil o de menores, así como el derecho de los empleadores que este catálogo contiene como rareza; son derechos que también exigen la abstención del Estado, en el sentido de que se halla privado de imponer medidas que fomenten su práctica. Igual cosa sucede con los “Derechos Colectivos”,como la Libertad de Asociación, la Libertad sindical, la negociación colectiva y la huelga, donde se requiere del Estado una actitud libre de interferencias, que como en el derecho de manifestación y reunión, (típicamente Civiles y políticos) debe intervenir </w:t>
            </w:r>
            <w:r w:rsidRPr="001B7F27">
              <w:rPr>
                <w:rFonts w:ascii="Arial" w:eastAsia="Times New Roman" w:hAnsi="Arial" w:cs="Arial"/>
                <w:color w:val="003399"/>
                <w:sz w:val="17"/>
                <w:szCs w:val="17"/>
                <w:lang w:eastAsia="es-AR"/>
              </w:rPr>
              <w:lastRenderedPageBreak/>
              <w:t>únicamente para proteger el ejercicio de los mismos.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todo ello, puede sostenerse que la mayoría de los derechos enunciados en la Declaración en estudio, resultan plenamente auto ejecutables, y más aún, susceptibles de ser protegidos por la legislación interna de los países signatarios a través de los remedios constitucionales, tales como la Acción de Amparo, la Inconstitucionalidad, y las demás medidas cautelares contempladas en los distintos ordenamientos jurídicos.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Operatividad de las normas laborales de la Constitución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problema de los textos constitucionales modernos de contenido social, es determinar si los Derechos Fundamentales reconocidos van dirigidos exclusivamente al Poder Legislativo – de tal modo que precisan de una ley ordinaria de desarrollo como requisito para su efectiva aplicación – o si, por el contrario, tienen eficacia u operatividad directa, independiente de su eventual complementación por leyes ordinarias.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cuestión constituye uno de los temas centrales de constitucionalismo actual, que trata de dotar de una mayor fuerza resolutiva propia a la norma constitucional ante las frecuentes violaciones, por parte del legislador común, de los principios fundamentales en ellas contemplados, generando una total desconfianza de la ciudadanía acerca de la efectividad de los mimos.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fenómeno comienza a tomar cuerpo a partir de la Constitución Española.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efecto, la Constitución Española de 1978, sienta un precedente muy interesantes que convienen tener presente. Así, el Art. 53 del mencionado cuerpo legal, establece con claridad, cuales son las normas constitucionales que vinculan a todos los poderes del estado (o sea, operativas) y cuales requiere de una ley especial que las desarrolle. Así dispone: “Los derechos y libertades reconocidos en el Capítulo Segundo del presente Titulo vinculan a todos los poderes públicos. Sólo por ley, que en todo caso deberá respetar su contenido esencial, podrá regularse el ejercicio de tales derechos y libertades, que se tutelan de acuerdo con lo previsto en el Art. 161 a)”. (Estableciendo un principio importante de la prohibición reglamentaria por Decretos o Decretos-Leyes). En el numeral 2) se establece que: “Cualquier ciudadano podrá recabar las libertades y derechos reconocidos en el artículo 14 y la Sección primera del Capitulo Segundo ante los Tribunales ordinarios por un procedimiento basado en los principios de preferencia y sumariedad, y en su caso, a través del recurso de amparo ante el Tribunal Constitucional. Este último recurso será aplicable a la objeción de conciencia reconocida por el Art. 30”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en este grupo se incorporan los derechos fundamentales del hombre y la libertades públicas como el derecho a la vida, la libertad de pensamiento, religión, las detenciones arbitrarias, la libertad de prensa, la libertad de asociación y todo el cúmulo de principios fundamentales del ser humano, además del derecho a la libre sindicalización, el derecho de huelga, la negociación colectiva, y el derecho de todos los españoles al trabajo y el deber de trabajar, la libre elección de su profesión y una remuneración suficiente para satisfacer sus necesidades y las de su familia, sin discriminación alguna. (Artículos que van desde el 14 al 38 de la C.E.).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vinculación se establece ciertamente en el presente, no en futuro ni condicionada a acontecimientos (legislativo) posterior alguno, como corresponde a su condición de derechos ya reconocidos. (Derecho del Trabajo – Tomás Salas Franco y otros –Ed. Tirant lo Blanch. Valencia España 1990. 5ta. Edición, Pág. 106 y sgtes.).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suma a ello también, en materia de derechos sociales, el contenido del numeral “3) Que el reconocimiento, el respeto y la protección de los principios reconocidos en el Capítulo Tercero (De los Principios rectores de la política social y económica, que incluyen una política de pleno empleo, de viviendas, jubilaciones, etc.), informarán la legislación positiva, la práctica judicial y la actuación de los poderes públicos. Aunque sólo podrán ser alegados ante la jurisdicción ordinaria de acuerdo con lo que dispongan las leyes que los desarrollen”; pero con las indicaciones propias fijadas en el texto constitucional, que de por sí ya son bastante operativas.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Frente a esta tesis generalizadora de la eficacia directa de la totalidad de los preceptos constitucionales del Capitulo II del Título Primero de la C.E., un sector de la doctrina asimila la eficacia de los derechos y libertades de los ciudadanos, incluidos en la Sección segunda, a la propia de los principios rectores de la política social y económicas (ALONSO OLEA). Se argumenta que puesto que estos derechos están excluidos tanto del procedimiento de tutela judicial, basado en los principios de preferencia y sumariedad, como del recurso de amparo constitucional (Art. 53.2 C.E), el único mecanismo de tutela que les es de aplicación es el derivado del Art. 53.1 C.E., que remite a “lo previsto en el artículo 161.1 a)” de la C.E., esto es, al recurso de inconstitucionalidad. Por consiguiente –se concluye-, estos preceptos no tienen operatividad directa, ya que el mencionado recurso de inconstitucionalidad requiere, por hipótesis, la existencia de una ley ordinaria de desarrollo constitucional.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posición doctrinal no es compartida por diversos autores, en razón a que el texto constitucional es bastante claro sobre el tema, y que la única diferencia entre los derechos reconocidos en la Sección 1ª. y los ubicados en la Sección 2ª radica, al margen de su específico tratamiento a efectos del amparo constitucional, en el procedimiento de su defensa ante los Tribunales ordinarios. Un procedimiento ordinario en los últimos y un procedimiento </w:t>
            </w:r>
            <w:r w:rsidRPr="001B7F27">
              <w:rPr>
                <w:rFonts w:ascii="Arial" w:eastAsia="Times New Roman" w:hAnsi="Arial" w:cs="Arial"/>
                <w:color w:val="003399"/>
                <w:sz w:val="17"/>
                <w:szCs w:val="17"/>
                <w:lang w:eastAsia="es-AR"/>
              </w:rPr>
              <w:lastRenderedPageBreak/>
              <w:t xml:space="preserve">extraordinario, basado en “principios de preferencia y sumariedad”, en los primeros, dice los mencionados autores.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su parte la Constitución Brasileña de 1988, establece como principio general, en el artículo 5º numeral LXXVII, que: “Las normas definidoras del los derechos y garantías fundamentales son de aplicación inmediata”. A su vez, reconoce 4 diferentes mecanismos de protección tales como el “Hábeas Corpus”, el “Mandato de Seguranca”, el “Mandato de Injuncao” y el “Habeas Data”, debiendo mencionarse muy especialmente el llamado “Mandato de Seguranca” que según el Art. 5º. mencionado, numeral LXIX se concederá para proteger un derecho determinado y cierto, no amparado por el Habeas Corpus o el Habeas Data cuando el responsable por la ilegalidad o abuso de poder fuese una autoridad o un agente de persona jurídica en ejercicio de atribuciones del Poder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el siguiente inciso LXX, textualmente dice: “El mandato de seguranca colectivo puede se interpretado por: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un partido político con representación en el Congreso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una organización sindical, entidad de clase o asociación legalmente constituida y en funcionamiento desde hace un año por lo menos, en defensa de los intereses de su miembros o asociados”. Con lo que se otorga una protección real, haciendo verdaderamente operativa la norma constitucional.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llamado “Mandato de Injuncao”, que se concede siempre, que por falta de norma reguladora, se torne inviable el ejercicio de los derechos y libertades constitucionales...” que en nuestro caso estaría cubierto por el Art. 80º. Dela Constitución vigente que textualmente dice: “La falta de ley reglamentaria no podrá ser invocada para negar ni menoscabar ningún derecho o garantía.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caso de la Argentina, que tradicionalmente adoptó una posición “dualista” sobre el tema, con la reforma de 1994, cambia el panorama, otorgándole rango constitucional a numerosas Declaraciones y Pactos internacionales, conforme al Art. 75 inc. 22), que en concordancia con el Art. 33, podrían resultar también aplicables.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su parte, el caso Uruguayo fue expuesto convenientemente por el Dr. Ermida, al decir: “que la Constitución Uruguaya al igual que las otras, incorpora todos los derechos humanos. Y las Declaraciones como la del MERCOSUR y aquellas con las que ella se integra, constituyen fuente de conocimiento de ese elenco que pasa a constituir lo que se denomina “bloque de constitucionalidad” sobre derechos humanos. Dicho de otro modo, la correspondiente sección b del texto constitucional se amplía constituyendo, en esta materia, un bloque junto con esas declaraciones, pactos y tratados”.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Estrategia para una mayor eficacia constitucional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búsqueda de una solución correcta, sobre esta cuestión de indudable importancia a la hora de juzgar la eficacia de las norma fundamental, el constitucionalista español y brasileño, se ha decidido por una drástica determinación, fijando claramente el marco jurídico dentro del cual deberá funcionar el mecanismo legislativo común, limitando sustancialmente su accionar.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limitación, hace que dichos cuerpos normativos, hayan sido objetados, por caer en un exceso reglamentarista, que contraría el principio tradicional de constituciones marco y más bien declarativas; aunque deberá reconocerse que, a su vez, ellas otorgan también, una mayor “operatividad” a sus mandatos tanto por lo detallado de su redacción, como por el lenguaje utilizado que ayuda al reclamo inmediato, sin posibles interpretaciones posteriores, diferentes.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tanto, la efectividad de la normativa constitucional estará basada en la mayor cuantía de normas operativas de eficacia directa, frente a las meramente programáticas o de eficacia mediata, que requieren de un desarrollo legislativo posterior.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Aún cuando en principio debe aceptarse, que todos y cada uno de los artículos de la constitución poseen un contenido esencial, independiente de su posterior regulación por una ley ordinaria, es también evidente que el grado de concreción o precisión de aquellos preceptos no es siempre igual. En este sentido, la eficacia directa de los artículos de la Constitución será tanto más extensa en la medida en que contengan preceptos jurídicos cerrados, esto es, regulaciones completas, entendiendo por tales no tanto las que sean exhaustivas, sino las que sean portadoras de enunciados jurídicos autosuficientes, que no requieran para su plenitud y posibilidad de aplicación de regulaciones complementarias.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sentido, la Declaración tiene indudablemente este tipo de normas, a más del atractivo de adaptarse plenamente a los nuevos principios que orientan a la OIT en estos tiempos cambiantes que nos toca vivir;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Catálogo de principios contenidos en la Declaración Socio laboral del MERCOSUR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Lo interesante de este documento, es que constituye uno de los primeros en su categoría que se adaptan a los nuevos principios que orienta a la OIT.</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efecto, en junio de 1998, la conferencia Internacional del Trabajo reafirmó su adhesión a los ideales fundacionales de la OIT al adoptar la Declaración de la OIT relativa a los principios y derechos fundamentales en el trabajo y su seguimiento.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Declaración entraña el compromiso de todos los Miembros de respetar, promover y hacer realidad, de buena fe, los principios y derechos relativos 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libertad de asociación y la libertad sindical y el reconocimiento efectivo del derecho de negociación colectiva;</w:t>
            </w:r>
            <w:r w:rsidRPr="001B7F27">
              <w:rPr>
                <w:rFonts w:ascii="Arial" w:eastAsia="Times New Roman" w:hAnsi="Arial" w:cs="Arial"/>
                <w:color w:val="003399"/>
                <w:sz w:val="17"/>
                <w:szCs w:val="17"/>
                <w:lang w:eastAsia="es-AR"/>
              </w:rPr>
              <w:br/>
              <w:t>la eliminación de todas las formas de trabajo forzoso u obligatorio;</w:t>
            </w:r>
            <w:r w:rsidRPr="001B7F27">
              <w:rPr>
                <w:rFonts w:ascii="Arial" w:eastAsia="Times New Roman" w:hAnsi="Arial" w:cs="Arial"/>
                <w:color w:val="003399"/>
                <w:sz w:val="17"/>
                <w:szCs w:val="17"/>
                <w:lang w:eastAsia="es-AR"/>
              </w:rPr>
              <w:br/>
              <w:t xml:space="preserve">la abolición efectiva del trabajo infantil; y </w:t>
            </w:r>
            <w:r w:rsidRPr="001B7F27">
              <w:rPr>
                <w:rFonts w:ascii="Arial" w:eastAsia="Times New Roman" w:hAnsi="Arial" w:cs="Arial"/>
                <w:color w:val="003399"/>
                <w:sz w:val="17"/>
                <w:szCs w:val="17"/>
                <w:lang w:eastAsia="es-AR"/>
              </w:rPr>
              <w:br/>
              <w:t xml:space="preserve">la eliminación de la discriminación en materia de empleo y ocupación.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más de 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Promoción del Empleo</w:t>
            </w:r>
            <w:r w:rsidRPr="001B7F27">
              <w:rPr>
                <w:rFonts w:ascii="Arial" w:eastAsia="Times New Roman" w:hAnsi="Arial" w:cs="Arial"/>
                <w:color w:val="003399"/>
                <w:sz w:val="17"/>
                <w:szCs w:val="17"/>
                <w:lang w:eastAsia="es-AR"/>
              </w:rPr>
              <w:br/>
              <w:t>La Protección contra la vulnerabilidad</w:t>
            </w:r>
            <w:r w:rsidRPr="001B7F27">
              <w:rPr>
                <w:rFonts w:ascii="Arial" w:eastAsia="Times New Roman" w:hAnsi="Arial" w:cs="Arial"/>
                <w:color w:val="003399"/>
                <w:sz w:val="17"/>
                <w:szCs w:val="17"/>
                <w:lang w:eastAsia="es-AR"/>
              </w:rPr>
              <w:br/>
              <w:t>El Diálogo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Declaración responde al anhelo general de que el crecimiento económico vaya acompañado de la justicia social. En 1995, la Cumbre Mundial sobre Desarrollo Social de Copenhague expresó ese deseo al abogar por la salvaguardia y el respeto de los derechos básicos de los trabajadores. La Reunión Ministerial de la Organización Mundial del Comercio, celebrada en Singapur en 1996, reafirmo la preeminencia de la OIT como organismo competente en lo que se refiere a fijar y supervisar las normas del trabajo fundamentales. La OIT asumió plenamente esa misión al adoptar la Declaración, que es una orientación normativa central en pro del desarrollo.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Declaración sirve asimismo de punto de referencia para toda a comunidad internacional: organizaciones de empleadores y de trabajadores, legisladores. ONG, empresas multinacionales y demás organizaciones internacionales. De hecho, encomienda a la OIT la misión de incitar a otras organizaciones internacionales con las cuales ha establecido relaciones a contribuir a la gestación de un clima propicio para el desarrollo económico y social que respete los principios y derechos fundamentales en el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Finalmente la Declaración sostiene que “a diferencia de los Convenios que solamente obligan a los países que lo ratifican, la DECLARACIÓN RIGE AUTOMÁTICAMENTE PARA TODOS LOS PAISES QUE HAYAN ACEPTADO LA CONSTITUCIÓN DE LA OIT, independientemente de que se hayan ratificados o no los Convenios fundamentales de la OIT.”</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orden de ideas la Declaración Socio Laboral del MERCOSUR, recoge todos estos principios y crea un moderno Catalogo de normas, distintas a la declaraciones anteriores y que responde al modelo señalado, es así que contemplan: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Principio de la no discriminación.</w:t>
            </w:r>
            <w:r w:rsidRPr="001B7F27">
              <w:rPr>
                <w:rFonts w:ascii="Arial" w:eastAsia="Times New Roman" w:hAnsi="Arial" w:cs="Arial"/>
                <w:color w:val="003399"/>
                <w:sz w:val="17"/>
                <w:szCs w:val="17"/>
                <w:lang w:eastAsia="es-AR"/>
              </w:rPr>
              <w:br/>
              <w:t>2) La igualdad de trato</w:t>
            </w:r>
            <w:r w:rsidRPr="001B7F27">
              <w:rPr>
                <w:rFonts w:ascii="Arial" w:eastAsia="Times New Roman" w:hAnsi="Arial" w:cs="Arial"/>
                <w:color w:val="003399"/>
                <w:sz w:val="17"/>
                <w:szCs w:val="17"/>
                <w:lang w:eastAsia="es-AR"/>
              </w:rPr>
              <w:br/>
              <w:t>Trabajadores Migrantes</w:t>
            </w:r>
            <w:r w:rsidRPr="001B7F27">
              <w:rPr>
                <w:rFonts w:ascii="Arial" w:eastAsia="Times New Roman" w:hAnsi="Arial" w:cs="Arial"/>
                <w:color w:val="003399"/>
                <w:sz w:val="17"/>
                <w:szCs w:val="17"/>
                <w:lang w:eastAsia="es-AR"/>
              </w:rPr>
              <w:br/>
              <w:t>Eliminación del Trabajo Forzoso</w:t>
            </w:r>
            <w:r w:rsidRPr="001B7F27">
              <w:rPr>
                <w:rFonts w:ascii="Arial" w:eastAsia="Times New Roman" w:hAnsi="Arial" w:cs="Arial"/>
                <w:color w:val="003399"/>
                <w:sz w:val="17"/>
                <w:szCs w:val="17"/>
                <w:lang w:eastAsia="es-AR"/>
              </w:rPr>
              <w:br/>
              <w:t>Trabajo infantil.</w:t>
            </w:r>
            <w:r w:rsidRPr="001B7F27">
              <w:rPr>
                <w:rFonts w:ascii="Arial" w:eastAsia="Times New Roman" w:hAnsi="Arial" w:cs="Arial"/>
                <w:color w:val="003399"/>
                <w:sz w:val="17"/>
                <w:szCs w:val="17"/>
                <w:lang w:eastAsia="es-AR"/>
              </w:rPr>
              <w:br/>
              <w:t>Facultad de los Empleadores</w:t>
            </w:r>
            <w:r w:rsidRPr="001B7F27">
              <w:rPr>
                <w:rFonts w:ascii="Arial" w:eastAsia="Times New Roman" w:hAnsi="Arial" w:cs="Arial"/>
                <w:color w:val="003399"/>
                <w:sz w:val="17"/>
                <w:szCs w:val="17"/>
                <w:lang w:eastAsia="es-AR"/>
              </w:rPr>
              <w:br/>
              <w:t>Libertad Sindical</w:t>
            </w:r>
            <w:r w:rsidRPr="001B7F27">
              <w:rPr>
                <w:rFonts w:ascii="Arial" w:eastAsia="Times New Roman" w:hAnsi="Arial" w:cs="Arial"/>
                <w:color w:val="003399"/>
                <w:sz w:val="17"/>
                <w:szCs w:val="17"/>
                <w:lang w:eastAsia="es-AR"/>
              </w:rPr>
              <w:br/>
              <w:t>Negociación Colectiva</w:t>
            </w:r>
            <w:r w:rsidRPr="001B7F27">
              <w:rPr>
                <w:rFonts w:ascii="Arial" w:eastAsia="Times New Roman" w:hAnsi="Arial" w:cs="Arial"/>
                <w:color w:val="003399"/>
                <w:sz w:val="17"/>
                <w:szCs w:val="17"/>
                <w:lang w:eastAsia="es-AR"/>
              </w:rPr>
              <w:br/>
              <w:t>Derecho de Huelga</w:t>
            </w:r>
            <w:r w:rsidRPr="001B7F27">
              <w:rPr>
                <w:rFonts w:ascii="Arial" w:eastAsia="Times New Roman" w:hAnsi="Arial" w:cs="Arial"/>
                <w:color w:val="003399"/>
                <w:sz w:val="17"/>
                <w:szCs w:val="17"/>
                <w:lang w:eastAsia="es-AR"/>
              </w:rPr>
              <w:br/>
              <w:t>Fomento del Diálogo Social</w:t>
            </w:r>
            <w:r w:rsidRPr="001B7F27">
              <w:rPr>
                <w:rFonts w:ascii="Arial" w:eastAsia="Times New Roman" w:hAnsi="Arial" w:cs="Arial"/>
                <w:color w:val="003399"/>
                <w:sz w:val="17"/>
                <w:szCs w:val="17"/>
                <w:lang w:eastAsia="es-AR"/>
              </w:rPr>
              <w:br/>
              <w:t>Fomento del Empleo</w:t>
            </w:r>
            <w:r w:rsidRPr="001B7F27">
              <w:rPr>
                <w:rFonts w:ascii="Arial" w:eastAsia="Times New Roman" w:hAnsi="Arial" w:cs="Arial"/>
                <w:color w:val="003399"/>
                <w:sz w:val="17"/>
                <w:szCs w:val="17"/>
                <w:lang w:eastAsia="es-AR"/>
              </w:rPr>
              <w:br/>
              <w:t>Formación Profesional</w:t>
            </w:r>
            <w:r w:rsidRPr="001B7F27">
              <w:rPr>
                <w:rFonts w:ascii="Arial" w:eastAsia="Times New Roman" w:hAnsi="Arial" w:cs="Arial"/>
                <w:color w:val="003399"/>
                <w:sz w:val="17"/>
                <w:szCs w:val="17"/>
                <w:lang w:eastAsia="es-AR"/>
              </w:rPr>
              <w:br/>
              <w:t>Salud y Seguridad en el trabajo</w:t>
            </w:r>
            <w:r w:rsidRPr="001B7F27">
              <w:rPr>
                <w:rFonts w:ascii="Arial" w:eastAsia="Times New Roman" w:hAnsi="Arial" w:cs="Arial"/>
                <w:color w:val="003399"/>
                <w:sz w:val="17"/>
                <w:szCs w:val="17"/>
                <w:lang w:eastAsia="es-AR"/>
              </w:rPr>
              <w:br/>
              <w:t>Seguridad Social</w:t>
            </w:r>
            <w:r w:rsidRPr="001B7F27">
              <w:rPr>
                <w:rFonts w:ascii="Arial" w:eastAsia="Times New Roman" w:hAnsi="Arial" w:cs="Arial"/>
                <w:color w:val="003399"/>
                <w:sz w:val="17"/>
                <w:szCs w:val="17"/>
                <w:lang w:eastAsia="es-AR"/>
              </w:rPr>
              <w:br/>
              <w:t>Inspección del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sentido, cabe señalar que el documento otorga tratamiento preferencial a tema de la “Formación Profesional”, que necesariamente debe constituir uno de los postulados fundamentales de la OIT, por la importancia que el tema adquiere en nuestro días.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tanto, siendo la Declaración Socio Laboral del MERCOSUR, el primer documento que recoge plenamente todos los principio actuales de la OIT, siguiendo los mismo lineamientos de la organización; está dado que su vigencia directa es real, tal como sucede con los Principios Fundamentales de la OIT, ya que el Paraguay a aceptado la </w:t>
            </w:r>
            <w:r w:rsidRPr="001B7F27">
              <w:rPr>
                <w:rFonts w:ascii="Arial" w:eastAsia="Times New Roman" w:hAnsi="Arial" w:cs="Arial"/>
                <w:color w:val="003399"/>
                <w:sz w:val="17"/>
                <w:szCs w:val="17"/>
                <w:lang w:eastAsia="es-AR"/>
              </w:rPr>
              <w:lastRenderedPageBreak/>
              <w:t>constitución del organismo, conforme a lo señalado por la OIT, sin necesidad de ratificación alguna. Así mismo, el tema que venimos estudiando tiene también trascendencia por cuanto que contempla nueva situaciones, cuya aplicación específica resulta útil en nuestros días.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efecto, y como convenientemente lo menciona Oscar Ermida,, “la Declaración contiene algunas cláusulas completas, auto ejecutables, como por ejemplo, las contenidas en los primeros párrafos de los Arts. 1 y 2, en el primer y en el cuarto párrafo del Art. 5, en los párrafos cuarto y sexto del Art. 6, y en el primero del Art. 8. De aceptarse la interpretación de que la Declaración tiene plena validez y eficacia jurídicas por formar parte del orden público internacional, por constituir el bloque de constitucionalidad sobre derechos humanos ex-Arts. 72 y 332 de la Constitución, o por la superioridad del Derecho Internacional, este tipo de cláusulas podrían ser aplicadas directamente por los tribunales o la Administración del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existen dudas de que la dos primeras normas de la Declaración, referidas a la “No discriminación” y a la “Promoción de la Igualdad”, tienen en nuestro derecho remedios procesales de aplicación inmediata, tales como la Inconstitucionalidad y el Amparo, en razón a que constituyen derechos inherentes a la personalidad humana. Además, la propia constitución paraguaya se hace eco de los mismos principios, y en especial a las llamadas desigualdades positivas, al disponer el Art. 46 que “La protección que se establezca sobre desigualdades injustas no serán consideradas como factores discriminatorios sino igualitarios”; basado en el principio de trato igual para iguales y trato desigual para desiguales.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otra parte, la Declaración contiene muchas cláusulas programáticas, la mayor parte de las cuales contienen, además, compromisos concretos asumidos por los gobiernos. Tal es el caso, por ejemplo, de los segundos párrafos de los Arts. 1, 2, 4, 5, 6, 8, del párrafo 3º del Art. 5, de los Arts. 3, 14, 15, entre muchos otros (esta enumeración no es ni remotamente exhaustiva). Estas cláusulas, además de establecer un desideratum, un objetivo, un propósito, un lineamiento o recomendación, establecen, además, compromisos efectivos de los gobiernos ('los Estados Partes se comprometen a ...), precisamente delimitados. Así, el gobierno que celebra una cláusula de este tipo, asume una obligación de hacer, cuya violación le hace incurrir en responsabilidad por omisión. De tal forma, la consecuencia natural de la inobservancia de estas cláusulas es que los gobiernos incumplidores pueden ser objeto de acciones por responsabilidad - política y patrimonial- por omisión; por no adoptar las medidas previstas en compromisos libre y precisamente asumidos, según lo recuerda Oscar Ermida.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única cuestión que parecería contradecir estos argumentos, constituye la Declaración final de Art. 25 que textualmente dispone: “Los Estados partes subrayan que esta Declaración y su mecanismo de seguimiento no podrán invocarse ni utilizarse para otros fines que no estén en ellos previstos, vedada, en particular, su aplicación a cuestiones comerciales, económicas y financieras”; que como acertadamente dice Ermida: “Esta limitación introducida a texto expreso, refuerza la argumentación expuesta, en el sentido de que los mecanismos de promoción confiados a la Comisión Socio laboral no significa que la declaración carezca de eficacia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Pareciera que con ella se pretender restarles la eficacia a la Declaración, en los campos por ella indicada (comercial, económicas y financieras), para hacerlo aparecer como una mera exposición de intenciones de las partes contratantes, cuando en realidad su normativa responde a las nuevas tendencias en materia socio laboral, aceptada por los países signatarios e integrantes de las OIT, si cuyo antecedente pareciera difícil que lo suscribieran.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El Artículo 45 de la Constitución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se sabe, dice el autor de nuestras citas permanentes, “la enumeración de derechos fundamentales reconocidos por la Constitución nacional no se agota en los expresamente proclamados, sino que incluye 'los otros que son inherentes a la personalidad humana o se derivan de la forma republicana de gobierno' (Art. 72), correspondiendo considerar como tales a los así reconocidos por los instrumentos internacionales sobre la materia. Y agrega: “Por lo demás, como el Art. 332 establece la aplicabilidad de tales derechos aún a falta de reglamentación expresa, disponiendo que deben integrarse con diversos criterios incluido el recurso a las doctrinas más recibidas, parece claro que los instrumentos internacionales aún no ratificados o meramente declarativos, constituyen doctrinas generalmente admitidas y por esa vía vendrían a integrar las previsiones constitucionales expresas. De este modo, la Constitución uruguaya (lo mismo que la paraguaya en su Art. 45 y que -en menor medida- la Argentina en su Art. 33 y la brasileña en su Art. 5-LXXVII) incorpora todos los derechos humanos. Y las Declaraciones como la del MERCOSUR y aquellas con las que ella se integra constituyen fuente de conocimiento de ese elenco que pasa a constituir lo que se denomina 'bloque de constitucionalidad' sobre derechos humanos. Dicho de otro modo, la correspondiente sección del texto constitucional se amplía constituyendo, en esta materia, un bloque junto con esas Declaraciones, pactos y tratados.”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así, que el citado Artículo 45 de la Constitución Paraguaya efectivamente dispone: “La enunciación de los derechos y garantías contenidos en esta Constitución, no deben entenderse como negación de otros que, siendo inherentes a la personalidad humana, no figuren expresamente en ella. La falta de ley reglamentaria no podrá ser invocada para negar ni para menoscabar algún derecho o garantía.”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De allí, que siendo la Declaración un catálogo de modernos principios en materia de trabajo, que no pudo haber sido previsto en ninguno anterior, en razón a los recientes cambios operados en el mundo; estas normas integran el llamado bloque de los Derechos Humanos, de carácter vinculante para el Paraguay.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lo sostiene claramente la Corte Suprema de Justicia en su Fallo No. 356 del 26 de agosto de 1996, cuando textualmente dice: “En efecto, nuestra Constitución siguiendo el precedente sentado por la Declaración Universal de los Derechos Humanos de las Naciones Unidas, en su primera parte, no enuncia taxativamente, ni mucho menos, los derechos humanos que hacen a esa dignidad de las personas. Simplemente consigna aquellos que considera fundamentales a los fines arriba mencionados, con la clara advertencia (Art. 45) de que tal enunciación no debe entenderse como negación de otro que, siendo inherentes a la personalidad humana, ni figuren expresamente en ella, y por el contrario estableciendo, también, que cualquier modificación de tal enunciación sólo puede darse por medio de la reforma y no la enmienda de la Constitución (Art. 290).”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respecto Karl Loewenstein sostiene es su obra “Teoría de la Constitución”, Ed. Ariel, Barcelona, 1982, p. 390: “ Entre todos los limites impuestos al poder del Estado se considera que el más eficaz es el reconocimiento jurídico de determinados ámbito de autodeterminación individual en los que el Leviatán no puede penetrar. El acceso a estas zonas prohibidas está cerrado a todos los detentadores del poder, a gobierno, al parlamento y, dado que los derechos fundamentales son “inalienables”, también al electorado. Estas esferas privadas, dentro de las cuales los destinatarios del poder están libres de la intervención estatal, coinciden con lo que se ha venido a llamar desde hace trescientos años “los derechos del hombre” o “libertades fundamentales”. Siempre que estos derechos se refieran a la familia, al matrimonio, a la religión y a la educación, se trata más de libertades individuales, de instituciones básicas del orden social liberal occidental, siendo anteriores a cualquier constitución; cualquier alusión constitucional tiene, pues, tan sólo un valor declarativo. Otros derechos especialmente los que hacen referencia a la vida, a la libertad personal y a la propiedad, están establecidos en las diferentes constituciones como derechos legalmente protegidos y exigibles. Aunque están sometidos a una interpretación variable debido a la diferencia del ambiente donde estén en vigor; estas garantías fundamentales son el núcleo inviolable del sistema político de la democracia constitucional, rigiendo como principios superiores al orden jurídico positivo, aún cuando no estén formulados en normas constitucionales expresas. En su totalidad, estas libertades fundamentales encarnan la dignidad del hombre.”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Casos prácticos de referencia a la Declaración en el caso Paraguayo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Trabajadores de la zona de las Tres Fronteras.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Durante el transcurso del mes de setiembre pasado, se generó un conflicto relacionado con la ocupación de trabajadores brasileños en el lado Paraguayo de Ciudad del Este, quienes diariamente acceden a través del Puente de la Amistad a prestar servicios en los negocios que funcionan en la ciudad paraguaya. El Ministerio de Trabajo de Asunción intervino en la cuestión debido al reclamo de los trabajadores quienes, ante la crisis económica de la región, reclamaban los puestos de trabajo para los nacionales. En esta oportunidad se pudo constatar que los empleados brasileros no tenía ninguna documentación paraguaya, encontrándose teóricamente en situación ilegal dentro del territorio.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situación se complicó cuando los trabajadores brasileños afectados cerraron el puente en reclamo de sus derechos.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bien la situación fue resuelta por canales diplomáticos, el Brasil alegó ante el Paraguay la norma del Artículo 4º. De la Declaración, por la cual “Los Estados partes se comprometen a adoptar medidas tendientes al establecimiento de normas y procedimientos comunes relativos a la circulación de trabajadores en la zona de frontera y a llevar a cabo acciones necesarias a fin de mejorar las oportunidades de empleo y las condiciones de trabajo y de vida de estos trabajadores.”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Finalmente, la cuestión se limitó a que el Paraguay facilitase a los trabajadores brasileños la documentación respectiva para seguir prestando servicios en el país, tal como sucede hoy día.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Diálogo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Paraguay dio inicio en 1994 a un intento interesante de Diálogo Social Tripartito, suscribiéndose en esa oportunidad el Convenio de San Bernardino mediante el cual las partes se comprometían a someter sus conflictos a una conciliación y arbitraje voluntario.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posterioridad y en 1999 el gobierno de Unidad Nacional que surge después del derrocamiento del gobierno del Ing.. Cubas, las nuevas autoridades retoman el Diálogo, que inicialmente tuvo bastante aceptación, para posteriormente caer nuevamente en una parálisis ante los cambios políticos y la falta de coherencia por parte del gobierno en las promesas formuladas.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En la actualidad, la OIT, nuevamente está realizando ingentes esfuerzos para retomar una vez más esta mesa de concertación que diera buenos resultados en numerosos países, invocando la Declaración Socio Laboral del MERCOSUR, cuyo Artículo 13 establece el compromiso de fomentar el Diálogo Social, tal como lo propugna la OIT.</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bien estos ejemplo, no hacen referencia a aquellas cláusulas de la Declaración que resultan operativas, no es menos cierto que la referida norma comienza a ser tenida en cuenta en los conflictos y sus soluciones tanto a nivel regional como local.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10.- Consideraciones finales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Desde el propio Considerando de la Declaración, constituye un primer fundamento para poder interpretar acertadamente de que el documento en cuestión, tiene un carácter abierto y de aplicabilidad directa en varias de sus normas, al sostener que los países firmantes son miembros de la OIT y que han ratificado los principales convenios de la organización, y que además apoyan la “Declaración de la OIT relativos a los Principios y Derechos Fundamentales en el Trabajo” (1998), la cual reafirma el compromiso de los Miembros de respetar, promover y poner en práctica los derechos y obligaciones expresados en los Convenios reconocidos como fundamentales dentro y fuera de la Organización; a más de las otras consideraciones que se consignan en la misma, y que indudablemente lo sitúan en un plano de verdadera operatividad de sus normas en base a lo dispuesto por el organismo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Además, a quedado suficientemente demostrado la Importancia que otorga el máximo Tribunal de la República a las “Declaraciones sobre Derechos Humanos” y en especial a la Declaración Universal, que necesariamente comprometen y obligan a que la instancias inferiores, tengan que pronunciarse en igual sentido. Es así, que la Declaración del MERCOSUR en estudio, responde a los principios señalados por la Corte Suprema, integrando un nuevo Catálogo de principios en materia Socio Laboral, que no puede ser entendido únicamente como una mera exposición de intenciones sin validez jurídica, la cual, resultaría contraria a la posición asumida habitualmente en materia de derechos humanos fundamentales.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Los Derechos Humanos constituyen un todo armónico, y tal como se ha señalado en este trabajo, las distintas categorías que la integran, forman un conjunto indisoluble de principios que operan recíprocamente (Civiles y políticos con los Económicos, sociales y culturales), cuando que estos últimos supuestamente, y por tratarse de obligaciones de hacer por parte del Estado resultan meramente programáticos, cuando que muchos de los principios en él enunciados, exigen un abstención por parte de la autoridades, tal como sucede con los Derechos humanos Civiles y Políticos, aunque sin dejar de reconocer que otros no lo son.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Diferentes normas de la Constitución Paraguaya, permiten interpretar que la Declaración Socio Laboral del MERCOSUR, adquiere plena operatividad en nuestro derecho, al igual que cualquier otra norma referente a los Derecho Humanos fundamentales, y que una interpretación de esta naturaleza, permite ampliar el campo de estos derechos hacia nuevas forma de protección relacionadas con los cambios que se operan en la humanidad.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Derecho Internacional de los Derechos Humanos Cecilia Medina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Declaración Socio Laboral del MERCOSUR</w:t>
            </w:r>
            <w:r w:rsidRPr="001B7F27">
              <w:rPr>
                <w:rFonts w:ascii="Arial" w:eastAsia="Times New Roman" w:hAnsi="Arial" w:cs="Arial"/>
                <w:color w:val="003399"/>
                <w:sz w:val="17"/>
                <w:szCs w:val="17"/>
                <w:lang w:eastAsia="es-AR"/>
              </w:rPr>
              <w:br/>
              <w:t>y su aplicabilidad judicial. Oscar Ermida U.</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Aspectos Sociales de la Reforma Constitucional A.González - R.Barboza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Trabajo Decente</w:t>
            </w:r>
            <w:r w:rsidRPr="001B7F27">
              <w:rPr>
                <w:rFonts w:ascii="Arial" w:eastAsia="Times New Roman" w:hAnsi="Arial" w:cs="Arial"/>
                <w:color w:val="003399"/>
                <w:sz w:val="17"/>
                <w:szCs w:val="17"/>
                <w:lang w:eastAsia="es-AR"/>
              </w:rPr>
              <w:br/>
              <w:t>Conferencia Internacional del Trabajo OIT, 87 Reunión 1999.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Jurisprudencia Constitucional Josefina Sapena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Declaración Socio Laboral del MERCOSUR IT y CCSCS.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Declaraciones Internacionales. Documentos ONU</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Constituciones Española, Argentina, Brasilera, </w:t>
            </w:r>
            <w:r w:rsidRPr="001B7F27">
              <w:rPr>
                <w:rFonts w:ascii="Arial" w:eastAsia="Times New Roman" w:hAnsi="Arial" w:cs="Arial"/>
                <w:color w:val="003399"/>
                <w:sz w:val="17"/>
                <w:szCs w:val="17"/>
                <w:lang w:eastAsia="es-AR"/>
              </w:rPr>
              <w:br/>
              <w:t xml:space="preserve">Uruguaya, y del Paraguay.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6"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2" w:name="12"/>
            <w:bookmarkEnd w:id="12"/>
            <w:r w:rsidRPr="001B7F27">
              <w:rPr>
                <w:rFonts w:ascii="Arial" w:eastAsia="Times New Roman" w:hAnsi="Arial" w:cs="Arial"/>
                <w:b/>
                <w:bCs/>
                <w:color w:val="009933"/>
                <w:sz w:val="20"/>
                <w:szCs w:val="20"/>
                <w:lang w:eastAsia="es-AR"/>
              </w:rPr>
              <w:t>"El Conocimiento Sensible frente al Derecho"</w:t>
            </w:r>
            <w:r w:rsidRPr="001B7F27">
              <w:rPr>
                <w:rFonts w:ascii="Arial" w:eastAsia="Times New Roman" w:hAnsi="Arial" w:cs="Arial"/>
                <w:color w:val="003399"/>
                <w:sz w:val="17"/>
                <w:szCs w:val="17"/>
                <w:lang w:eastAsia="es-AR"/>
              </w:rPr>
              <w:br/>
              <w:t>Jorge Scala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Filosofía del Derecho, Deontología Jurídica</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7"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Conocimiento sensible y conocimiento racional.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tesis de este trabajo es mostrar cómo el conocimiento sensible va reemplazando al conocimiento racional 2, en las artes y ciencias humanas, y la influencia de este deslizamiento en desmedro del derecho. Para esto, conviene recordar las características principales de ambos procesos cognoscitivos, y luego entrar en materia.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Conocimiento sensible: El conocimiento es una perfección, porque nos permite participar de las cualidades de los demás seres. Hay dos formas de conocimiento: a) el sensible -específico de los animales, y que por nuestro cuerpo material en parte nos pertenece-, y b) el racional -propio de los seres espirituales, que por nuestro alma nos es más propio, aunque no exclusivo-.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conocimiento sensible se realiza a través de las potencias sensitivas o sentidos. Los externos, son los 5 sentidos clásicos: vista, oído, gusto, olfato y tacto. Los internos son: el sentido común, la imaginación, la memoria y la estimativa.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sentidos externos captan las cualidades de los seres materiales: la vista percibe el color; el oído, el sonido; el gusto, el sabor; el olfato, el olor; y el tacto capta la resistencia de los materiales y la temperatura. Los sentidos tambien nos permiten conocer los aspectos cuantitativos de las cosas: tamaño, figura, número, y estado de reposo o movimiento.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sentido común es el principio único y el término final de las sensaciones externas; es decir, es el que le da unidad a las sensaciones de los demás sentidos. Sin el sentido común, estando frente a un caballo -por ejemplo-, no podríamos captar simultáneamente el color de su pelaje, su figura, oír su relincho, olerlo, y tener la sensación de acariciarlo.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imaginación reproduce imágenes, con prescindencia de la presencia actual del objeto. Al relacionarla con la razón y con la voluntad, resulta una potencia inventiva, creadora, poética. La memoria es la facultad de reconocer objetos o actos del pasado como pretéritos; supone la imaginación, que conserva esas imágenes; pero la memoria permite situarlas en el tiempo.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estimativa o instinto, es el sentido interno superior. Valora en forma espontánea y sensitiva, la bondad o maldad de un objeto respecto de nosotros mismos. Cuando se relaciona con la memoria es adquirida; en los demás casos es innata. El instinto es el que permite la conducta gregaria de los animales. En los seres humanos se la denomina cogitativa; es mucho más perfecta porque está en relación directa con la inteligencia; es un cierto razonamiento, que permite percibir el individuo concreto y singular, como perteneciente a su género común -nos dice: -esto es un tomate; y juzga sobre su bondad para mí, diciendo: -el tomate es muy rico.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objeto del conocimiento sensible no supera lo particular, es decir lo material e individual; conoce los accidentes de las cosas, pero no qué son las cosas en sí mismas; por tanto, no puede abstraer ni percibir los universales. Sólo puede unir los aspectos particulares de cada individuo. Requiere un estímulo físico del órgano correspondiente; pero esa alteración fisiológica no es el acto de sentir, que es inmaterial 3. Análogamente sucede con el resto de los sentidos externos. Si el órgano correspondiente está sano, los sentidos son infalibles respecto de los objetos sensibles que captan.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 Conocimiento racional: Percibe la finalidad de las cosas y acciones, también se propone sus propios fines y saca </w:t>
            </w:r>
            <w:r w:rsidRPr="001B7F27">
              <w:rPr>
                <w:rFonts w:ascii="Arial" w:eastAsia="Times New Roman" w:hAnsi="Arial" w:cs="Arial"/>
                <w:color w:val="003399"/>
                <w:sz w:val="17"/>
                <w:szCs w:val="17"/>
                <w:lang w:eastAsia="es-AR"/>
              </w:rPr>
              <w:lastRenderedPageBreak/>
              <w:t>consecuencias (razona). Concluye su actividad con un juicio sobre la realidad. Su objeto es el ente universal: las cosas que son y, en concreto, qué es cada cosa en sí misma; es decir, toda la verdad de todas las cosas. Conoce la esencia -lo que es en sí mismo-, de todos los entes sensibles; aunque en la práctica no nos alcanza la vida, para poder captar la totalidad de los seres sensibles existentes.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bien necesitamos los sentidos y el conocimiento sensible como presupuestos para el conocer racional, éste es completamente inmaterial. La propia reflexión de la inteligencia, es decir, el volver sobre lo pensado anteriormente, nos demuestra su inmaterialidad, ya que es imposible repetir un mismo acto material; será, en todo caso otro acto parecido, pero jamás serán idénticos ni los mismos. Y, por el contrario, todos tenemos experiencia personal de la capacidad de reflexión de nuestra propia inteligencia, que vuelve a pensar lo pensado anteriormente, de forma idéntica.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razón entiende lo inteligible, o sea, todo lo que es. Lo percibe a través de un procedimiento ligado a los sentidos. La inteligencia actúa después de los sentidos, que captan los accidentes; en cambio, la razón entiende la esencia manifestada por los accidentes de las cosas. Por otra parte, la verdad no está en el proceso de conocimiento, sino en la concordancia entre el objeto de conocimiento y la inteligencia que conoce 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razón humana -ratio-, tiene tres actos, uno simple y los otros complejos: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1º) la simple aprehensión, por la que capta un contenido real y simple, al que expresa en un concepto. A través de los conceptos, se abstraen los elementos inmateriales y universales, que nos permiten conocer -de modo inmediato y espontáneo-, la esencia de las cosas y afirmar, por ejemplo: -esto es una mesa.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2º) El juicio: Esa primera abstracción de lo concreto -casi espontánea-, que es el concepto, debe volver a la realidad para comprobar su veracidad. Ese acto indivisible, por el que se capta que algo es y es de tal modo, constituye la operación última y más acabada del entendimiento. Con ella enlazamos lo anteriormente conocido con los conceptos, según el orden impuesto por la realidad. Mediante un juicio podemos decir: -esta mesa es grande. Hemos combinado dos conceptos diferentes -mesa y grandeza-, e hicimos un juicio sobre la realidad de una mesa concreta, que fue el objeto de nuestro conocimiento. Por el juicio decimos que la mesa es y, además, que es de tamaño grande.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error radica en algunos juicios, donde se combinan conceptos en forma equivocada o, en su defecto, se afirma la realidad de algo que no es. Por contraposición, la verdad radica en el juicio, cuando éste coincide con el objeto del conocimiento.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3º) El razonamiento, es un encadenamiento de juicios, que nos permite pasar de lo conocido a lo desconocido, mediante un proceso mediato. El silogismo es la forma natural en que procede el razonamiento humano. Las falacias son los errores en el procedimiento silogístico, que aparentan un razonamiento correcto, pero que en realidad es erróneo. Ese peculiar encadenamiento de juicios se expresa, por ejemplo, así: -Pedro es hombre; los hombres pueden reirse; luego, Pedro puede reirse. Si los juicios son verdaderos, y se sigue un procedimiento lógico correcto, el razonamiento nos permite conocer verdades antes desconocidas.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Nuestro razonamiento procede por inducción o deducción, infiriendo las causas de los efectos, o previendo los efectos de las causas. Cuando el razonamiento es ordenado y completo según la materia, tenemos el conocimiento científico.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Hay otra actividad del entendimiento, que capta de un modo directo, inmediato e intuitivo la realidad: es el intellectus o intuición intelectual. Percibe la realidad como de un sólo golpe de vista y, precisamente por tal motivo, ese conocimiento es muy difícil de transmitir a las demás personas. Es el genio de los poetas y creadores; y el principal “motor” del progreso o la regresión de la humanidad -según que la intuición sea utilizada para concretar el bien o el mal-. En todo ser humano se combinan razonamiento e intuición, prevaleciendo alguna de ellas.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 Unidad del conocimiento humano: Si bien dividí el conocimiento humano en racional o sensible; esto se debe a una simple cuestión metodológica, que nos permite comprender mejor el acto de conocer. En la realidad, conoce la persona humana que tiene los cinco sentidos externos, los cuatro sentidos internos, su inteligencia y voluntad propias, actuando muchas veces en forma simultánea. Se trata, en definitiva de un largo y complejo proceso, que comienza captando la realidad, a través de los sentidos externos e internos; prosigue con el acto simple de la inteligencia; vuelve a la realidad, recuerda otros conocimientos o los sentidos captan otras realidades y, con ese nuevo bagaje; retorna a la inteligencia, que establece un juicio; de allí regresa a la realidad, recuerda, compara y lleva los nuevos datos a la inteligencia, que elabora así un razonamiento. Y este proceso se recicla continuamente, permitiendo avanzar en el conocimiento, en la insaciable -y tan propiamente humana-, búsqueda de la totalidad de la verdad de todas las cosas.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Repito que quien conoce es cada persona y, al actuar con todas sus potencias, no puede sostenerse que haya quienes conocen exclusivamente en forma sensible, y quienes perciben la realidad únicamente en forma racional. Ambas afirmaciones son igualmente disparatadas. Sin embargo, es verdad que hay personas que tienen una escasa </w:t>
            </w:r>
            <w:r w:rsidRPr="001B7F27">
              <w:rPr>
                <w:rFonts w:ascii="Arial" w:eastAsia="Times New Roman" w:hAnsi="Arial" w:cs="Arial"/>
                <w:color w:val="003399"/>
                <w:sz w:val="17"/>
                <w:szCs w:val="17"/>
                <w:lang w:eastAsia="es-AR"/>
              </w:rPr>
              <w:lastRenderedPageBreak/>
              <w:t>capacidad para trascender los datos sensibles; les cuesta abstraer y, con frecuencia lo hacen de modo erróneo. Muchas son las causas de esta limitación: poca inteligencia, la miseria económica, que exige una vida dedicada a la “supervivencia”, las actividades cotidianas, el tipo de educación recibida, etc. Por el contrario, hay seres humanos con una notable y envidiable agudeza de pensamiento. Esto me permite sostener, que hay personas en las que predomina el conocimiento sensible, y otras en que prima el racional.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clave de esto es la siguiente: quienes tienen bastantes dificultades para: a) distinguir lo esencial de lo accidental; b) captar las causas de las cosas -distinguiéndolas de las consecuencias-; y c) diferenciar entre los medios y los fines; son personas en las que -evidentemente-, predomina el conocimiento sensible. Por el contrario, hay quienes con rapidez y sin equivocarse, distinguen los accidentes de la esencia, perciben las causas de los acontecimientos, sin confundirlos con las consecuencias, y, a la vez, diferencian con claridad los fines de los medios; en ellos prima -sin duda alguna-, el conocimiento racional.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 asombroso es que hasta hace pocas décadas, en Occidente, los intelectuales ocupaban las cátedras universitarias, escribían libros, cultivaban las artes, etc. En cambio, quienes carecían de esas cualidades, se desempeñaban más bien en tareas manuales o trabajaban en el campo. De un tiempo a esta parte, muchas cátedras universitarias están ocupadas por personas a las que les resulta muy difícil el conocimiento racional. Los resultados están a la vista. Con este trabajo pretendo hacer un pequeño aporte para revertir la situación5.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mayor evidencia de esta decadencia intelectual, es el simple hecho de que, en amplios -y los más influyentes-, círculos “científicos”, se valora más la “demostración” empírica que la demostración racional, en las ciencias humanas6. Esto es irracional, porque empíricamente sólo se pueden describir algunos accidentes de las cosas sensibles. No se puede probar ni demostrar nada. Como el alma humana es espiritual, este camino resulta sumamente inadecuado para comprehender cualquier proceso, tanto sea del ser humano cuanto de la sociedad. Reducir los hombres a sus cuerpos, el derecho a la sociología, la economía al marketing, la medicina a la fisiología, la política a las estadísticas, son algunos de los desatinos que está produciendo la entronización del conocimiento sensible 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El “cientificismo”.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El “cientificismo” es una corriente de opinión, que consiste en aplicar principalmente el conocimiento sensible a las ciencias, artes y demás disciplinas humanas 8. Conforme lo que hemos visto, sus notas peculiares son tres: a) una notoria incapacidad de distinguir lo esencial de lo accidental, que lleva -en muchos casos-, a confundir una cualidad con el objeto en sí mismo; b) un minucioso estudio de las consecuencias de los hechos -ignorando sus causas-, con la vana pretensión de solucionar los problemas, mediante el combate contra dichas consecuencias; y, como efecto de las anteriores; c) la dificultad, virtualmente insuperable, para diferenciar los medios de los fines. Utiliza casi con exclusividad la inducción, y siente una fascinación irresistible por reducir lo humano a lo sensible y, por ende, al accidente cantidad, representado mediante números; por eso pretende rebajar toda disciplina intelectual a expresiones matemáticas.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las distintas ramas del saber, se ha introducido esta forma de ver las cosas de un modo progresivo. Insisto, es propiamente un modo de mirar, antes que un modo de razonar. Así, por ejemplo, se abandona la lógica silogística -que tiene fundamentos metafísicos, y responde tanto a un proceso de conocimiento correcto, cuanto a la realidad de las cosas-, reemplazándola por la lógica simbólica o la matemática, que no corresponden al modo natural del conocimiento racional y, además, sólo se fijan en la formalidad del razonamiento, sin importar si concuerda o no, con la realidad de las cosas. Ya no interesa la verdad de las cosas en sí mismas, sino una pura apariencia, que permite “diseñar” la realidad, de acuerdo con las propias conveniencias... 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Este estilo se comienza a aplicar en forma generalizada. Se extrapola el método de las ciencias exactas, utilizándolo indebidamente en las ciencias humanas. Está claro que la matemática sólo se adapta al accidente cantidad, pero resulta insuficiente para describir siquiera las sustancias -sólo puede sumar, restar o multiplicarlas-. Esta insuficiencia resulta aún mayor para comprender los procesos humanos, donde interviene la libertad. ¿Cómo cuantificar las conductas, si son mudables de por sí?, ¿qué valor pueden tener las estadísticas relativas a las decisiones de las personas?. Y si a esta metodología errónea se le añaden prejuicios ideológicos, los resultados son explosivos. Por ejemplo: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 Leonardo Castellani critica la afirmación freudiana que “la normalidad del instinto es una feliz casualidad de equilibrio de todas las perversiones que por suerte se da muchas veces, aunque nunca perfectamente. Como si dijéramos: la salud es un haz de enfermedades ... o sea, el enfermo es un supersano” 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 Este mismo método falso aplican algunos “sexólogos” 11. De un caso patológico único entre millones de seres humanos, pretenden inducir las conductas normales. Es como si los médicos en lugar de estudiar primero la anatomía de las personas sanas, comenzaran estudiando anatomía patológica y, además, pensaran que esas patologías son lo saludable. Esto que en medicina sería una aberración, es el “método científico” de casi todos los “sexólogos”. Veamos: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Uno de los creadores de la ideología de género, John Money, la justifica con frases como estas: “Cuando uno ve a un transexual ... no tiene el menor sentido preguntarse: ‘¿En realidad, es todavía un hombre, o ha sido siempre mujer?’. Lo único que se puede decir es que en esas personas, los órganos sexuales se diferenciaron como masculinos y la identidad de género como femenina”. O bien, cuando afirma: “poseemos dramáticas pruebas de que la opción de identidad de género queda abierta durante el nacimiento para los niños normales, y que las fuerzas sociales pueden intervenir decisivamente al menos hasta un año y medio despues del nacimiento. Una de ellas procede de un caso inusitado que ocurrió hace algo más de diez años...” 12 (y cuenta el supuesto caso de un niño que al circuncidarlo, por un accidente, perdió su órgano genital externo; lo operaron y lo criaron como una niña; lo que no cuenta es que al llegar a la adolescencia ese joven renegó de su femenina educación, para afirmar su masculinidad). Como todo caso único, no puede demostrar nada; sin embargo, Money basa sólo en ese único hecho su ideología del género.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todos los supuestos, el esquema mental es el mismo: constatan empíricamente que alguna conducta existe en una persona; y de allí infieren que es una pauta normal de comportamiento y, por ende, su bondad moral. Sólo quien “razona” con la vista puede llegar a esas conclusiones. Desde luego, aquí no hay ciencia, arte ni técnica. ¡Son sólo puros prejuicios ideológicos!.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El “cientificismo jurídico”.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En el Derecho, han surgido tambien varias escuelas que en diverso grado, van cayendo por esta pendiente, de sustituir el conocimiento racional por el sensible. Algunas de las más conocidas son: el positivismo jurídico, las escuelas analíticas del derecho, las corrientes sociologista y psicologista, y los consensualismos.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sus propios matices, todas ellas niegan la naturaleza humana y, por ende, todo principio moral absoluto. Precisamente son los absolutos morales -por ejemplo: no matar-, los fundamentos más básicos y elementales del orden jurídico, pues ellos deben tener una expresión jurídico-positiva, si es que se quiere ordenar la sociedad conforme a criterios justos. A mi juicio, el “éxito” de estas corrientes se debe -entre otros factores-, a la buena pluma de algunos de sus seguidores y, fundamentalmente, porque justifican siempre todo abuso de poder del gobernante de turno 13 -aún cuando pueda no ser esa su intención-.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Quizás la expresión más acabada del “cientificismo jurídico”, sea el sistema anglosajón. Hay quienes sostienen que el mismo deriva directamente del Derecho Romano. No estoy de acuerdo. Históricamente esto no es así, pues la dominación romana fue muy esporádica 14. Roma sometió a tribus galas en las costas, y anglas en el interior de Gran Bretaña. Siglos despues las islas fueron invadidas por los sajones -germanos-, y más adelante, por los normandos -vikingos afincados en la Normandía francesa-, encabezados por Guillermo el Conquistador. En realidad el sistema jurídico anglosajón -como su nombre lo indica-, es tributario de ambos pueblos bárbaros.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Además, la supuesta similitud entre ambos ordenamientos jurídicos, es sólo epidérmica. En efecto: en el Libro III, del Tratado de las Leyes, Marco Tulio Cicerón describe cada una de las magistraturas romanas, sintetizándolas así: “Comprendéis sin duda que el carácter del magistrado es presidir, ordenar lo que es justo, útil y conforme a las leyes. Así como las leyes son superiores a los magistrados, éstos son superiores al pueblo, y puede decirse con verdad que el magistrado es la ley que habla, y la ley el magistrado mudo” 15.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Antes, había enseñado que “si bajo el reinado de Tarquino no existía en Roma ninguna ley escrita contra el adulterio, no por eso Sexto Tarquino, al violar a Lucrecia, hija de Tricipitino, dejó de despreciar la ley eterna. No, existía ya razón perfecta, emanada de la naturaleza de las cosas, que impulsa al bien y retrae del delito; ésta no comienza a ser ley cuando se la escribe”, y en ese diálogo, Quinto le contesta: “convengo, hermano mío en que lo justo es a la vez verdadero, y no podría comenzar a existir ni desaparecer con las letras que sirven para redactar los derechos”; y más adelante, Tulio refuerza la idea al decir: “¡Cómo! ¿no existen en muchas naciones decretos perniciosos, pestíferos, que no merecen mejor el nombre de leyes que los pactos de una banda de ladrones? Si no pueden llamarse prescripción de médico las recetas mortales que ignorantes e imperitos den como saludables, tampoco es ley para un pueblo lo que le es perjudicial, sea la que quiera su forma y aunque él mismo lo haya aceptado. La ley es por consiguiente la distinción entre lo justo y lo injusto, modelada por la naturaleza, principio antiquísimo de todas las cosas, regla de las leyes humanas, que impone penas a los malvados, y defiende y garantiza a los buenos” 16.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 La contradicción más radical entre el sistema romano y el anglosajón, no se refiere a las formas -donde pueden encontrarse algunas similitudes-, sino a la filosofía de ambos. Mientras el ordenamiento jurídico de Roma, por estoico es iusnaturalista17; los anglosajones, como buenos utilitaristas, son tributarios del epicureísmo. Y es el mismo Cicerón quien con su agudeza describe el abismo que los separa: “No existe, pues, más que un sólo derecho al que está sujeta la sociedad humana, establecido por una ley única: esta ley es la recta razón en cuanto manda o prohibe, ley que, escrita o no, quien la ignore es injusto. Si la justicia es la observación de las leyes escritas y de las instituciones de los pueblos, y si, como ellos mismos sostienen -los epicúreos-, todo debe medirse por la utilidad, olvidará las leyes, las quebrantará, si puede, aquel que crea que de hacerlo así obtendrá provecho. La justicia, pues, </w:t>
            </w:r>
            <w:r w:rsidRPr="001B7F27">
              <w:rPr>
                <w:rFonts w:ascii="Arial" w:eastAsia="Times New Roman" w:hAnsi="Arial" w:cs="Arial"/>
                <w:color w:val="003399"/>
                <w:sz w:val="17"/>
                <w:szCs w:val="17"/>
                <w:lang w:eastAsia="es-AR"/>
              </w:rPr>
              <w:lastRenderedPageBreak/>
              <w:t>es absolutamente nula si no se encuentra en la naturaleza: descansando en un interés, otro interés la destruye” 18.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para aventar cualquier duda, remata el gran jurisconsulto: “Si los mandatos de los pueblos, los decretos de los imperantes, las sentencias de los jueces fundasen el derecho, de derecho sería el robo, el adulterio, el falso testamento, si en su apoyo tuviesen los votos o aprobación de la multitud. Si en los juicios y mandatos de los ignorantes existe tanta autoridad que sus sufragios cambian la naturaleza de las cosas, ¿por qué no decretan que lo malo y pernicioso sea declarado en adelante como bueno y saludable? ¿y por qué la ley de que lo injusto puede hacer lo justo, no podrá hacer del mal un bien? Y es que para distinguir una ley buena de otra mala tenemos una regla solamente; la naturaleza. No solamente se distingue el derecho por la naturaleza, sino que tambien todo lo que es honesto y torpe en general. Esta noción nos la da la inteligencia común, infundiéndola en nuestro espíritu, que coloca lo honesto en la virtud y lo torpe en el vicio. Hacer depender esta noción de la opinión general y no de la naturaleza, es verdadera locura” 19.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 Por tanto, en Roma había leyes, en el sentido de una ordenación de la razón natural, dirigida al bien común y promulgada por la autoridad competente; y eso con independencia absoluta de la formalidad que revistiera esa fuente del derecho -escritas o no, las XII Tablas, los edictos pretorianos, las sentencias de los jurisconsultos veteres, etc.-. Esta ordenación de la razón natural, implica que Roma utilizó el conocimiento racional para configurar su ordenamiento jurídico. El intelecto práctico de los romanos, es una de sus virtudes proverbiales.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sistema anglosajón es la antítesis. Los precedentes jurisprudenciales se basan en las doctrinas utilitarias -por eso la insistencia permanente en los derechos “individuales”, que son intereses particulares- 20. Además, ideológicamente, sus jueces ponen el sesgo en la opinión mayoritaria, expresada en tesis sociologistas y psicologistas, como si esta fuera la expresión de la verdad y la justicia. Y la raíz de todo esto es la aplicación de técnicas del conocimiento sensible, sin apenas trascender los accidentes y fenómenos. La también proverbial practicidad sajona, se origina en el conocimiento sensitivo. Prueba patética de ello es que los anglosajones aún hoy día, no han podido incorporar a su sistema jurídico las normas supletorias. Dichas normas surgen de abstraer el curso natural de los acontecimientos y darles un marco justo para la generalidad de los casos. Para llegar a esto, además de ver, hay que haber aprendido a pensar 21. La escasez de leyes y la no codificación en el sistema jurídico anglosajón, son otras demostraciones de lo dicho: para legislar -y mucho más para codificar-, es necesario abstraer; y la abstracción implica aplicar la inteligencia a un objeto de conocimiento.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Efectos del “cientificismo jurídico”.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“cientificismo” ha invadido -al menos en parte-, el orden jurídico. Demasiados parlamentarios carecen de idoneidad para legislar 22; muchos jueces tienen importantes lagunas en su formación jurídica, o fueron elegidos por vinculaciones políticas, algunos carecen de probidad en su vida privada o pública; no faltan docentes ideologizados o atraídos por las modas siempre cambiantes. El resultado es penoso: sociedades fragmentadas o injustamente ordenadas. Las víctimas son siempre las mismas: las mujeres y varones con mayor debilidad en sus cualidades personales, o en lo económico, social o político.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los ejemplos sobran, por razones de espacio me limitaré a dos: a) el divorcio vincular; y b) la “salud reproductiva” 23. Veamos: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El divorcio vincular es la disolución jurídica del vínculo conyugal. El matrimonio es “la unión de un hombre y una mujer, que establecen una comunidad indisoluble de vida y de bienes, con el fin de procrear y educar a los hijos, y de lograr su mutuo perfeccionamiento por el amor. Esto no es una definición académica, sino el descubrimiento de una realidad necesaria para la especie humana, derivada de tres verdades indiscutidas: a) los seres humanos somos mortales, b) para que nazcan los nuevos seres que mantengan la especie, es necesaria la unión biológica de un hombre y una mujer, y c) para que un hombre madure, debe criarse y educarse por muchos años en un ambiente de amor, respeto y comprensión que ordinariamente sólo se da en una familia fundada en la íntima comunidad de vida y amor de los cónyuges”24.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lo dicho, surge la importancia angular del matrimonio para el bienestar de la sociedad; ya que involucra a los contrayentes, sus hijos presentes, futuros o posibles, y, además, al resto de la sociedad. La pregunta jurídica más comprometida es: ¿cómo legislar los casos de fracaso matrimonial?. Hay supuestos muy diferentes. Sin embargo, utilizando adecuadamente el conocimiento racional, se llega a una conclusión unívoca: el matrimonio es y ha de ser indisoluble 25. No hay justificación racional para autorizar las nuevas nupcias en vida del otro cónyuge. Sigamos atentamente a Mazzinghi: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a.1. “Quienes afirman querer ligarse con el vínculo conyugal no limitan la permanencia de la unión: creen entregarse recíprocamente para siempre, y cada uno cuenta con la sinceridad del voto que el otro formula. Cualquier apartamiento de esta conducta significa quebrantar la promesa, faltar a la palabra empeñada, claudicar en el cumplimiento de lo prometido. Y un principio de moral elemental -pacta sunt servanda- prescribe la observación de los compromisos libremente asumidos ... La obligación moral de respetar el compromiso asumido pasa al orden jurídico. Su violación constituye un ataque contra la justicia. Y esto no solamente vale en el mundo de los contratos, </w:t>
            </w:r>
            <w:r w:rsidRPr="001B7F27">
              <w:rPr>
                <w:rFonts w:ascii="Arial" w:eastAsia="Times New Roman" w:hAnsi="Arial" w:cs="Arial"/>
                <w:color w:val="003399"/>
                <w:sz w:val="17"/>
                <w:szCs w:val="17"/>
                <w:lang w:eastAsia="es-AR"/>
              </w:rPr>
              <w:lastRenderedPageBreak/>
              <w:t>sino -y con mayor razón- cuando lo que se compromete es la persona entera” 26. Así quedan descalificados como antijurídicos los supuestos de abandono del cónyuge e infidelidad.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a.2. En el caso del matrimonio con hijos, la voluntad concorde de ambos contrayentes para disolver su unión, es tambien antijurídica, pues “la procreación no es un acto instintivo, sino un acto humano, lo que vale decir responsable. Y esos terceros, llamados al mundo por una decisión ajena, frutos de la unión inspirada por lo que los cónyuges han creído que era amor inagotable, no pueden ser defraudados por el hecho de que uno u otro de sus progenitores, o ambos, descubran un error de apreciación, y adviertan que confundieron un pasajero entusiasmo con el amor imperecedero. Se los trae al mundo con el compromiso de recibirlos en una familia, cuya piedra angular es la unión entre los padres, y estos no pueden quebrantar ese compromiso sin violar un deber moral que el derecho debe garantizar. La indisolubilidad, pues, no solo protege el interés del cónyuge desdeñado, sino el interés de los hijos nacidos del matrimonio” 27.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a.3. Por último, trata el supuesto del divorcio por voluntad de ambos cónyuges quienes no han tenido hijos. Tambien lo descarta como antijurídico, porque “no es improbable que una regulación semejante funcionara como un impulso a abstenerse de procrear para conservar la posibilidad de disolver el vínculo ... Por otra parte, no tendría sentido desconocer los lineamientos generales de la institución matrimonial para resolver casos excepcionales. Al legislar se ha de tener presente, ante todo, el bien común ... Darle cabida, aunque sea con carácter de excepción, es como admitir el caballo de Ulises entre los muros de la ciudadela que se debe defender”; además, “en el problema del divorcio se enfrenta el interés individual de quien desea disolver un vínculo con el interés social de que las familias se mantengan unidas. Y es necesario advertir que, si se hace prevalecer el primero, será en desmedro del segundo ... Desertar es, para muchos, una alternativa más tentadora que empeñarse, con tesón y con caridad, en la superación de los problemas conyugales”. Concluye que “la estabilidad de la familia, que descansaba en su ordenamiento institucional, pasa a depender de la veleidad de los cónyuges. Y la posibilidad, consagrada por la ley, de seguir esa veleidad constituye un estímulo más para ceder a ella, originando así un creciente cortejo de cónyuges defraudados, de hijos abandonados, llenos de conflictos, cargados de frustraciones” 28.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a.4. Nuestros legisladores, haciendo un análisis sensitivo y epidérmico del matrimonio, han otorgado habilidad nupcial a los cónyuges adúlteros o que abandonan al otro contrayente (art. 214, inc. 2º del C.Civil), o por voluntad de ambos, tengan o no hijos (art. 215 C.Civil). Para ello se basaron en el supuesto derecho a “rehacer su vida”, reivindicando la libertad individual. Sin embargo, en la República Argentina, “la concertación de un compromiso entrañable, el deseo de contraer un matrimonio para siempre, la decisión de quemar las naves, están vedados; se obliga a quienes se casan a dejar abierta la vía de la deserción, que se incorpora, así, al modelo del vínculo matrimonial. Es un modo de comprimir la libertad bajo la apariencia de asegurar su respeto” 29 (art. 230 del C.Civil, que prohibe el vínculo matrimonial indisoluble).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a.5. O sea que la ley 23.515: 1º) no distingue lo esencial -el matrimonio-, de lo accidental -algo que puede suceder: su fracaso 30-; hace hincapié en éste último, prohibiendo lo esencial, el vínculo matrimonial indisoluble (art. 230 del C.Civil). 2º) Confunde las consecuencias con las causas, al atribuir los fracasos matrimoniales al vínculo indisoluble; cuando es evidente que en la mayoría de los casos sucede lo contrario. 3º) El fin de la legislación es fortalecer la familia; para ello utiliza como medio el debilitamiento del vínculo jurídico que la origina, lo cual luce absurdo. En pocas palabras, la ley 23.515 regula el fracaso matrimonial -es el eje de toda la ley-, en lugar de legislar el matrimonio y, además, hace prevalecer el interés particular -a veces incluso inmoral- sobre el bien común general.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La llamada “salud reproductiva” consiste en que -para asegurar el derecho a procrear saludablemente-, habría que repartir gratuitamente contraceptivos a cualquier persona que los pida -incluso menores sin el conocimiento, ni el consentimiento de sus padres- y, además, enseñar su uso en los hospitales públicos e instituciones educativas 31. La irracionalidad no puede ser más evidente: se pretende garantizar el derecho a procrear, entregando elementos que impiden la procreación... 32. Por otra parte, recuerdo que las principales características del conocimiento sensible son: 1) no distinguir la esencia de los accidentes; 2) no diferenciar las causas de las consecuencias; 3) no distinguir entre medios y fines. Todas estas características se cumplen acabadamente en estas leyes. Veamos: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b.1. En cuanto al acto matrimonial, no distinguen su esencia -mantener la especie humana-, de un accidente -el placer que proporciona-. Al modo de los animales que sólo perciben los accidentes, aquí se da preeminencia al placer, frente a lo que constituye la razón de ser del acto sexual, que es la propagación de la especie humana; quedándose con la gratificación -separada artificialmente-, de la esencia de dicho acto en sí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b.2. Se ha pretendido justificar estas leyes, como una forma de combatir los embarazos “no deseados”, el aborto y las enfermedades venéreas. Esto es falaz, pues se confunden las causas con las consecuencias. En efecto: la causa de los embarazos “no deseados”, el aborto y las enfermedades venéreas es la promiscuidad sexual; no es la falta de contraceptivos disponibles, pues está científicamente demostrado que estos fallan. Cuando las relaciones se dan dentro del matrimonio monogámico e indisoluble -es decir sin ningún tipo de promiscuidad-, dichos flagelos no existen. Por tanto, quien sinceramente quiera combatir estos males, necesariamente debe atacar su causa: la promiscuidad sexual. En lugar de ello, con estas leyes se logra exacerbar las causas y, por ende, los problemas aumentan en lugar de disminuir 33.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b.3. Patentiza la incapacidad de distinguir entre medios y fines, el reparto de contraceptivos para evitar el sida y otras enfermedades de transmi-sión sexual -lo mismo puede decirse de la legislación holandesa que entrega dosis gratuitas a los drogadictos, para disminuir los robos-. El fin es evitar que haya promiscuos sexuales y drogadictos. Obviamente, si se regalan contraceptivos y dosis de droga, habrá más promiscuos y más drogadictos. La finalidad debe percibirse adecuadamente, al igual que los medios idóneos para lograrla.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síntesis, la recepción legislativa del divorcio vincular y la “salud reproductiva”, son ejemplos paradigmáticos de la sustitución del conocimiento racional por el sensible, en el ordenamiento jurídico contemporáneo.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La tarea actual de los jueces.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Tal como hemos visto, asistimos a una profunda decadencia del Derecho. A todos nos compete hacer algo para revertirla. Los ciudadanos debemos asumir plenamente nuestra responsabilidad como electores, especialmente ante cargos legislativos 34. A estudiosos y docentes les cabe la obligación de volver a las fuentes genuinas del Derecho y, desde ese punto de partida, remozarlo. Los jueces deben ejercer una suerte de “ius resistendi”, frente a las leyes inicuas; evitando cuidadosamente -a la vez-, alterar la seguridad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estas condiciones, los magistrados tienen un campo amplísimo de actuación, a la que animo vivamente. Su potestad, la iurisdictio -decir el derecho-, implica la obligación moral y legal de hacer justicia en el caso concreto. Morigerando -incluso- la ley, si fuere menester; aplicando así la epikeia o aequitas. Frente a leyes irracionales e intrínsecamente injustas, los jueces no pueden someterse y, con su claudicación, someter tambien a sus conciudadanos.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Cada magistrado, según la materia y demás circunstancias, debería hacer un profundo exámen introspectivo y creativo, para replantearse actitudes y modos de resolver cuestiones difíciles, en especial aquellas que trascienden meros intereses particulares. Doy algunos ejemplos a modo enunciativo y, desde luego, opinables: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Hay abundante bibliografía especializada que ha considerado inconstitucional la recepción del divorcio vincular en nuestra legislación o, al menos, algunos de los artículos incorporados al Código Civil por la ley 23.515 35. Su consideración pormenorizada excede el objeto de este trabajo, por lo que me remito a dicha bibliografía, que puede servir de fundamento a pronunciamientos judiciales en tal sentido.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Nuestro sistema jurídico recepta el divorcio vincular por presentación conjunta; el juez lo decretará “cuando los motivos aducidos por las partes sean suficientemente graves” (art. 236 del C.Civil, aplicable por remisión del art. 215). Conforme lo antedicho, hay motivos suficientes para decretar la separación personal y patrimonial de los cónyuges, pero podría no haberlos para justificar la disolución del vínculo. Siendo facultativo del juez examinar la procedencia o no de la acción, nadie podría objetar el rechazo de la misma, en tanto no sea manifiestamente arbitraria.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 El art. 204 del C.Civil, permite la separación personal de los cónyuges “cuando éstos hubieren interrumpido su cohabitación sin voluntad de unirse por un término mayor de dos años”; paralelamente tres años bastan para demandar el divorcio vincular (art. 214, inc. 2º del C.Civil). Se trata de causales objetivas, pero los medios probatorios deben ser analizados por el juez. Se admiten desde certificados policiales de domicilio, anotaciones en el documento de identidad y otros medios unilaterales y endebles. Se podría resistir a un régimen siempre injusto -al menos para los hijos-, con exigencias probatorias severas, para formar convicción suficiente en el magistrado, de la falta de cohabitación y su cómputo.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 La reforma constitucional de 1.994 enumera una serie de Tratados Internacionales los que, “en las condiciones de su vigencia, tienen jerarquía constitucional, no derogan artículo alguno de la primera parte de esta Constitución y deben entenderse complementarios de los derechos y garantías por ella reconocidos” (art. 75, inc. 22 C.N.). En torno a los derechos de los padres a la educación de sus hijos, destaco los siguientes textos: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Declaración Universal de Derechos Humanos prescribe que “los padres tendrán derecho preferente a escoger el tipo de educación que habrá de darse a sus hijos” (art. 26, inc. 3º).</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Convención Americana sobre Derechos Humanos establece que “los padres, y en su caso los tutores, tienen derecho a que sus hijos o pupilos reciban la educación religiosa y moral que esté de acuerdo con sus propias convicciones (art. 12, inc. 4º).</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Convención sobre los Derechos del Niño estatuye como deberes de los Estados Partes “la educación y servicios en materia de planificación de la familia” (art. 24, inc. 2º, f). Sin embargo, al ratificarla, nuestro país hizo la siguiente reserva: “con relación al artículo 24 inciso f) de la Convención sobre los Derechos del Niño, la República Argentina, considerando que las cuestio-nes vinculadas con la planificación familiar atañen a los padres de manera indelegable de acuerdo a principios éticos y morales ...” (art. 2, ley 23.849).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El juego armónico de todos estos preceptos constitucionales lleva a que los Tribunales tengan la obligación de tutelar los siguientes derechos de los padres: 1º) elegir la orientación general de la escuela de sus hijos; 2º) exigir la enseñanza religiosa, incluso en las escuelas públicas de gestión estatal; y 3º) impedir que en las escuelas se dicten materias o unidades relacionadas con la mal denominada “educación sexual”. Los jueces deben acoger los amparos presentados en defensa de tales derechos, tanto sea por los padres, como por “las asociaciones que propendan a esos fines, registradas conforme a la ley” (art. 43, 2º párrafo de la C.N.); obviamente entre dichas asociaciones se deben incluir las uniones de padres, docentes, cooperadoras escolares,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Epílogo.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Son muchos los ejemplos concretos, de este progresivo deslizamiento cultural en lo jurídico. Por razones de espacio, sólo he puntualizado algunos que considero de mayor actualidad e importancia por las repercusiones sociales negativas. Cuando se reemplaza el conocimiento racional por el sensible, las consecuencias se comienzan a sufrir rápidamente. Mucho más en el plano del derecho, que es el ordenamiento de la sociedad según criterios de justicia. Es difícil percibir la justicia con argumentos sensitivos, mucho más inclinados a lo placentero que a la verdad, a lo útil que a la virtud. Decaen las costumbres, las leyes, las sentencias de los jueces y, obviamente, la enseñanza del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llamada “civilización occidental” se gestó amalgamando la fe católica, la filosofía de los griegos, y el ordenamiento jurídico y político romano. La base común a esos tres elementos fue, históricamente, la recta razón natural -el conocimiento de la fe es de un orden superior al racional, pero no lo contradice-. La comprehensión intelectual se bate en retirada frente a la percepción sensible, -a partir del Renacimiento-, y en todos los ámbitos de la cultura contemporánea. El espíritu humano es acosado -casi hasta la asfixia-, por el materialismo. El individualismo egocéntrico posterga la solidaridad. El postmodernismo semeja una nueva invasión de los “bárbaros”. Podemos evitarla. La decisión es nuestra. En el campo del derecho, esta necesidad se torna especialmente urgente, por las graves e imprevisibles consecuencias que desataría, un ordenamiento social librado a los sentimientos de las mayorías.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8"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3" w:name="13"/>
            <w:bookmarkEnd w:id="13"/>
            <w:r w:rsidRPr="001B7F27">
              <w:rPr>
                <w:rFonts w:ascii="Arial" w:eastAsia="Times New Roman" w:hAnsi="Arial" w:cs="Arial"/>
                <w:b/>
                <w:bCs/>
                <w:color w:val="009933"/>
                <w:sz w:val="20"/>
                <w:szCs w:val="20"/>
                <w:lang w:eastAsia="es-AR"/>
              </w:rPr>
              <w:t>"El Derecho de Asilo: “El Caso Haya de la Torre”"</w:t>
            </w:r>
            <w:r w:rsidRPr="001B7F27">
              <w:rPr>
                <w:rFonts w:ascii="Arial" w:eastAsia="Times New Roman" w:hAnsi="Arial" w:cs="Arial"/>
                <w:color w:val="003399"/>
                <w:sz w:val="17"/>
                <w:szCs w:val="17"/>
                <w:lang w:eastAsia="es-AR"/>
              </w:rPr>
              <w:br/>
              <w:t>Atilio Fernández Celauro - Omar Araya Yampey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Derechos Humanos e Internacional Humanitario</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59"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SUMARIO: 1-BREVE INTRODUCCIÓN; 2-LOS HECHOS GENERADORES DE LA CONTROVERSIA; 3- EL CONFLICTO LLEGA A LA CORTE INTERNACIONAL DE JUSTICIA (CIJ); 4-COMPOSICIÓN DEL TRIBUNAL DE JUSTICIA; 5-HECHOS PRECEDENTES A LA SENTENCIA DEL CIJ; 6-FALLO DE LA CORTE INTERNACIONAL DE JUSTICIA; 7-CRITICA AL FALLO DE LA CORTE INTERNACIONAL DE JUSTICIA; 8-HECHOS POSTERIORES AL FALLO DE LA CORTE.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BREVE 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término Asilo “designa la protección que un Estado otorga en su territorio o en otro lugar dependiente de alguno de sus órganos a un individuo que la solicita”3, según el Institut de Droit Internacional, que en su sesión de Bath de 1950 la definió así. Cabe señalar que esta definición se adecua perfectamente a las dos clases de asilo que son, a saber: Asilo Territorial y Asilo Diplomático.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El asilo diplomático y territorial que se otorgan a los perseguidos políticos, anteriormente lo era sólo para perseguidos por delitos comunes, es una institución que nace en América.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América Latina el asilo sirvió para salvar vidas sacrificadas por las pasiones resultantes de largas y crueles dictaduras, así también de las innumerables revoluciones que eran una constante en la accidentada historia Latinoamericana.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Hoy día el asilo se encuentra reglado por tratados, cumple con su función humanitaria sin que ningún Estado pueda sentirse vulnerado en su soberanía.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Después de esta breve introducción, pasaremos a analizar uno de los casos más controvertidos de Asilo Diplomático, que haya conocido Latinoamérica, así como también nos ocuparemos de estudiar el ambiguo fallo de la Corte Internacional de Justicia en el caso: “VÍCTOR RAÚL HAYA DE LA TORRE”.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 Los Hechos generadores de la controversia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3 de octubre de 1948 se produce en el Perú una asonada militar, procediéndose desde esa misma fecha una exhaustiva investigación.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 día siguiente, decreto mediante, el Presidente del Perú acusa al APRA (Alianza Popular Revolucionaria Americana) de ser los autores de la rebelión militar, proscribiendo a dicho partido, y ordenando que sus dirigentes sean investigados por la Justicia.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contra del Dr. Víctor Raúl Haya de la Torre y otros acusados, fue dictada una orden de detención, en fecha 25 de octubre, por el Ministro de Marina, Haya de la Torre no era encontrado, entonces fue emplazado por un edicto, en fecha 13 de noviembre por el Juez Instructor Comandante C.A.P. Américo Vargas.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fecha 3 de enero de 1949, el Doctor VÍCTOR RAÚL HAYA DE LA TORRE, se presenta ante la embajada de Colombia en Lima y solicita al señor embajador Don Carlos Echeverri Cortés asilo político en vista de que su vida estaba en eminente peligro así como su libertad. En esa misma fecha el embajador colombiano le concedió el asilo, que al día siguiente se comunica mediante una nota al Señor Ministro de Relaciones Exteriores y Culto del Perú, Contralmirante Federico Díaz Dulanto, donde le expresa: “que de conformidad con lo dispuesto por el Art. 2 parágrafo 2 de la Convención sobre Asilo firmada por los dos países en la Ciudad de la Habana en el año 1928, el Doctor Haya de la Torre se encontraba asilado en la sede de la Misión a su cargo. En la misma nota le solicitaba ordenar la expedición del respectivo salvoconducto con la finalidad de que el asilado pudiera salir al exterior respetándosele la inviolabilidad de su persona y con las facilidades que el derecho de asilo diplomático establece”4.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pregunta que se debe formular al señor embajador Don Carlos Echeverri Cortés es la siguiente: ¿Por qué no se puso primero en comunicación con su gobierno para que éste hiciera la calificación del delito del Doctor Haya de la Torre; puesto que conforme al Derecho Internacional Americano, es el gobierno del estado asilante quien debe calificar si el delito es común o político, y no el agente diplomático a quien se le ha hecho la solicitud de asilo?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Debemos recordar que el Embajador solamente puede conceder una protección provisoria hasta tanto su respectivo Gobierno decida si concede o no el asilo solicitado. Sólo después de que su Gobierno haya efectivamente concedido o rechazado el asilo, el diplomático puede comunicar al Estado territorial dicha decisión. Si lo otorga a un delincuente político, también debe solicitar el salvoconducto, como así también los demás documentos imperiosos para que el asilado pueda salir libremente del país donde es perseguido; y en caso contrario si se trata de un delincuente común, debe entregarlo a la justicia del Estado territorial, siempre y cuando esta la solicite.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caso a nuestro modesto entender el Embajador Echeverri Cortés cometió un gravísimo error, el haber comunicado inmediatamente al Gobierno peruano que el líder aprista ingresó a la Embajada Colombiana solicitando asilo, sin informar con anterioridad a su propio Gobierno. De solo imaginarnos lo que hubiera sucedido, si después de que el Señor Embajador hubiese calificado como delito político, otorgado el asilo y enviado la nota de comunicación al Ministerio de Relaciones Exteriores del Perú solicitando el salvoconducto, el Gobierno Colombiano hubiera desautorizado dicho asilo, el escándalo que hubiera sucedido. Esto nos trae a colación </w:t>
            </w:r>
            <w:r w:rsidRPr="001B7F27">
              <w:rPr>
                <w:rFonts w:ascii="Arial" w:eastAsia="Times New Roman" w:hAnsi="Arial" w:cs="Arial"/>
                <w:color w:val="003399"/>
                <w:sz w:val="17"/>
                <w:szCs w:val="17"/>
                <w:lang w:eastAsia="es-AR"/>
              </w:rPr>
              <w:br/>
              <w:t>el trágico episodio que le toco vivir al guerrillero Saúl Fajardo, quién solicito asilo al Embajador chileno en Colombia, señor Julio Barrenechea, quién concedió el asilo diplomático, comunicándolo primeramente al Ministro de Relaciones Exteriores de Colombia sin haberlo consultado primeramente con su propio Gobierno, y por un triste designio del destino fue desautorizado por la Cancillería de su Gobierno, razón por la cuál renunció a su cargo, ya que de lo contrario estaría entregando a la muerte al guerrillero, como efectivamente acaeció cuando su reemplazante entregó al asilado, al gobierno colombiano, muriendo asesinado el guerrillero víctima de la barbarie imperante en aquella luctuosa época.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Volviendo a nuestro tema, recién en fecha 14 de enero de 1949, el Embajador colombiano, manifiesta al gobierno </w:t>
            </w:r>
            <w:r w:rsidRPr="001B7F27">
              <w:rPr>
                <w:rFonts w:ascii="Arial" w:eastAsia="Times New Roman" w:hAnsi="Arial" w:cs="Arial"/>
                <w:color w:val="003399"/>
                <w:sz w:val="17"/>
                <w:szCs w:val="17"/>
                <w:lang w:eastAsia="es-AR"/>
              </w:rPr>
              <w:lastRenderedPageBreak/>
              <w:t>peruano que ha recibido la autorización de su Gobierno, o sea ¡¡diez días después!! de que haya empezado el asilo. En dicha nota el Embajador aseveraba que: “Por instrucciones recibidas de la Cancillería de mi país, tengo el honor de manifestar a Vuestra Excelencia que el Gobierno de Colombia, de conformidad con el artículo segundo de la Convención sobre Asilo Político suscrita por nuestros dos países en la ciudad de Montevideo el 26 de diciembre de 1933, ha calificado al señor Víctor Raúl Haya de la Torre como asilado político”5. Aquí el antes citado embajador comete otro grave error ya que al mencionar la Convención de Montevideo de 1933, que no había sido aún ratificada por Perú, dio un argumento para que el Perú impugnase dicho asilo, basándose en que dicho tratado “no constituía derecho vigente entre el Perú y Colombia”6.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Posteriormente se inicio un estéril intercambio de notas entre ambas cancillerías, que culminó con el Acta de Lima del 31 de Agosto de 1949, que fue rubricada por los doctores Eduardo Zuleta Ángel, por Colombia y Víctor Andrés Belaunde por Perú, en dicha acta se estipulaba que este conflicto podía ser sometido por cualquiera de las partes a la Corte Internacional de Justicia de La Haya.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El conflicto llega a la Corte Internacional de Justicia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Efectivamente en fecha 15 de Octubre de 1949, el Gobierno colombiano, por intermedio de su agente el ilustre Dr. Jesús María Yepes se presentó ante la Corte Internacional de Justicia y solicitó que esta juzgue y resuelva: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“Primera cuestión: En el marco de las obligaciones que se derivan en particular del Acuerdo Bolivariano sobre extradición, de fecha 18 de Julio de 1911, y de la Convención sobre Asilo, de 20 de Febrero de 1928, ambos vigentes entre Colombia y el Perú, y de manera general del Derecho Internacional Americano, ¿le toca o no a Colombia como país que ha acordado el asilo calificar la naturaleza del delito para los fines de dicho asilo?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Segunda cuestión: En el caso concreto, materia del litigio, el Perú, en su calidad de Estado territorial, ¿está o no obligado a otorgar las garantías necesarias para que el refugiado salga del país siendo respetada la inviolabilidad de su persona?”7.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de sencilla era la cuestión que ponía a consideración el Gobierno de Colombia a la Corte, pero está compuesta en su mayoría por jueces extra - americanos, según lo veremos más adelante, y estos ayunos de lo que es el derecho de asilo, que posee una riquísima tradición en el derecho latinoamericano, dictaron un fallo ambiguo e impracticable; pero ahora conoceremos la Contra – Memoria del Gobierno peruano. El Sr. Carlos Sayán Álvarez, agente del Gobierno del Perú, lo presentó en fecha 21 de Marzo de 1950, y dada su importancia nos permitimos transcribirla literalmente: “Sírvase la Corte Rechazar las conclusiones I y II de la Memoria Colombian;</w:t>
            </w:r>
            <w:r w:rsidRPr="001B7F27">
              <w:rPr>
                <w:rFonts w:ascii="Arial" w:eastAsia="Times New Roman" w:hAnsi="Arial" w:cs="Arial"/>
                <w:color w:val="003399"/>
                <w:sz w:val="17"/>
                <w:szCs w:val="17"/>
                <w:lang w:eastAsia="es-AR"/>
              </w:rPr>
              <w:br/>
              <w:t>Decir y Juzgar: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título de reconvención, de acuerdo con los términos del Art. 63 del Reglamento de la Corte, y mediante una sola y misma sentencia, que el otorgamiento del asilo por el Embajador de Colombia en Lima, a Víctor Raúl Haya de la Torre, ha sido realizado violando el Art. 1º, Párr. 1º, y el Art. 2º, inc. 1º de la Convención sobre Asilo firmada en La Habana en 1928”8.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4- Composición del Tribunal de Justicia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ya lo habíamos adelantado este Tribunal estaba compuesto solamente por 4 americanos, de los 15 miembros elegidos por la Asamblea General de la Organización de las Naciones Unidas y por el Consejo de Seguridad de la misma Organización, conforme lo disponen la Carta de San Francisco, integrado entonces apenas por 14 jueces, de los que son: GUERRERO, ÁLVAREZ, FABELLA y ACEVEDO, los únicos americanos; el resto de los Magistrados: BASDEVANT (que fue el Presidente), BADAWI, PACHÁ, KRYLOV, READ, HSU MO, WINIASKI, ZORICIC, DE VISSCHER, SIR ARNOLD MC NAIR y KLAESTAD, pertenecían a un mundo extra americano, siendo en su mayoría europeos, pese a que un ilustre internacionalista argentino afirma que “en la Corte deben estar representadas las grandes civilizaciones y los principales sistemas jurídicos del mundo”9.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Estos hombres fueron los famosos autores de ese tristemente célebre fallo, dictado con ocasión del conflicto Colombiano - Peruano y que ha merecido ásperas críticas y acentuadas protestas, no sólo en Colombia, sino en toda Latinoamericano por los cultores del Derecho Internacional Público Americano. Esto se debió a que los jueces en su mayoría europeos “ignoraban” el Derecho de Asilo, de antiquísima tradición en Latinoamérica.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Jueces ad hoc lo fueron por el Perú Don Luis Aliaza y Paz Soldan y por Colombia Don José Joaquín Caicedo Castilla quién en ocasión de fundamentar su voto consignó su inconformidad con las tesis del veredicto.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También actuaron, pero como agentes de sus respectivos gobiernos, por Colombia el prestigioso jurista internacionalista Dr. Jesús María Yepes, siendo asistido por el Dr. Alfredo Vásquez Carrizosa; y por el Perú el Dr. Carlos Sayán Álvarez, siendo a su vez asistido por el Dr. George Scelle.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5- Hechos precedentes a la sentencia del C. I. J.</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conformidad con el artículo 40 del estatuto de la Corte se comunicó a los Estados admitidos a comparecer en justicia ante la Corte y así también se la comunicó a la Secretaría General de las Naciones Unidas.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Posteriormente el procedimiento llegó a su etapa de audiencia el 15 de Junio de 1950, la misma se fijo para el 26 de Setiembre de 1950 la cual se extendió hasta el 9 de octubre del mismo año, la Corte oyó los alegatos de las partes, terminando el procedimiento escrito, las partes presentaron sus conclusiones.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FALLO DE LA CORTE INTERNACIONAL DE JUSTICIA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Debido a la importancia que ostenta esta sentencia de fecha 20 de noviembre de 1950 nos hemos permitido transcribir literalmente sus partes más resaltantes: “QUE, Colombia invoca el Acuerdo Bolivariano que dice ‘...Fuera de las estipulaciones del presente acuerdo, los estados signatarios reconocen la institución del asilo, de conformidad con los principios del Derecho Internacional...’ y este artículo se limita a hacer referencia a los principios del Derecho Internacional y estos no reconocen ninguna regla de calificación unilateral y definitiva por el estado que concede el asilo diplomático.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invoca además el artículo 2, parágrafo 1, de la Convención de La Habana que dice ‘... El asilo de los de los delincuentes políticos en Legaciones, navíos de guerra, campamentos o aeronaves militares será respetado en la medida en que, como un derecho o por humanitaria tolerancia, los admitieren el uso, las convenciones o las leyes del país de refugio y de acuerdo con las disposiciones siguientes...’, y Colombia entiende que uno de los países signatarios vendría a depender de las modificaciones que pudieran hacerse en el derecho interno de la otra parte, lo que es inadmisible, esto debe ser considerado como una limitación de la medida en que el asilo debe respetarse. Lo que ella dice, en efecto, es que el estado de refugio no puede practicar el asilo con mayor amplitud que las que permita sus propias costumbres, convenciones y leyes, y que el asilo otorgado deberá ser respetado por el estado territorial únicamente cuando sea permitido por las costumbres, convenciones o leyes del país de refugio.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QUE, el Gobierno de Colombia invoca también la Convención de Montevideo sobre asilo político, además que en la nota dirigida al Ministro de Relaciones Exteriores del Perú se pretendió en ella que el Art. 2 de dicha convención interpreta la convención de La Habana de 1928 en el sentido de que la calificación de un delito político corresponde al estado que concede el asilo. Los Arts. 6 y 7 de la Convención de Montevideo disponen que ésta deberá ser ratificada y entrará en vigencia a medida que las ratificaciones sean depositadas y por lo que cabría aclarar que la Convención de Montevideo no fue ratificada por el Gobierno del Perú y no puede ser invocada contra ese Estado.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Colombia invoca una supuesta costumbre regional o local de los Estado Americanos, debiendo probar que la forma en que ha sido establecida la convierte en obligatoria para la otra Parte, es decir debe estar de acuerdo con el uso constante y uniforme de los estados en cuestión.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TANTO, por los anteriormente expuesto la Corte ha llegado a la conclusión de que Colombia no tiene derecho de calificar el delito mediante una decisión unilateral y definitiva, obligatoria para Perú.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RESUELVE: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estos motivos, la Corte sobre las conclusiones del Gobierno de Colombia por 14 votos contra 2 rechaza la primera conclusión, en cuanto esta implicaría un derecho a calificar la naturaleza del delito, mediante la decisión unilateral, definitiva y obligatoria para el Perú.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Rechazar la segunda conclusión de Colombia 15 votos contra 1, respecto a las garantías que debía otorgar Perú al refugiado para que este salga del país respetándose la inviolabilidad de su persona.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Respecto de la demanda de reconvención del Gobierno del Perú, la rechaza por 15 votos contra 1, en cuanto ella se basa sobre una violación del Art. 1. parágrafo 1, de la Convención sobre asilo, suscrita en la Habana 1928.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Declara, por 10 votos contra 6, que Colombia no otorgó el asilo a Víctor Raúl Haya de la Torre de conformidad con el Art. 2, parágrafo 1, inc. 1 de dicha Convención.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Hecha en francés y en inglés ( siendo el texto francés el que da fe), en el Palacio de la Paz, en la Haya, el 20 de noviembre de 1950, en tres ejemplares, uno de los cuales será depositado en los archivos de la Corte, y los dos restantes serán transmitidos, respectivamente, al Gobierno del la República de Colombia y al gobierno de la República del Perú”.10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Haciendo referencia al segundo pedido de Colombia, en la que proponía se concedan las garantías necesarias para que el asilado salga del país respetándose la inviolabilidad de su persona; al parecer de la Corte tal obligación para </w:t>
            </w:r>
            <w:r w:rsidRPr="001B7F27">
              <w:rPr>
                <w:rFonts w:ascii="Arial" w:eastAsia="Times New Roman" w:hAnsi="Arial" w:cs="Arial"/>
                <w:color w:val="003399"/>
                <w:sz w:val="17"/>
                <w:szCs w:val="17"/>
                <w:lang w:eastAsia="es-AR"/>
              </w:rPr>
              <w:lastRenderedPageBreak/>
              <w:t>el Gobierno del Perú no depende de la calificación unilateral y definitiva del delito, ya que de la Convención de La Habana han deducido que, aún no admitiéndose el derecho a la calificación del delito, el Gobierno de Colombia se encuentra facultado a solicitar el salvoconducto necesario, en ciertas condiciones que se estipulan en: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a)que haya sido el asilo regularmente concedido y mantenido.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b)El Gobierno del Estado podrá exigir que el refugiado sea puesto fuera del Territorio nacional dentro del más breve plazo posible y en ese caso el Agente diplomático del país que hubiere acordado el asilo, podrá a su vez, exigir las garantías necesarias para que el refugiado salga del país respetándose la inviolabilidad de su persona.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la Corte este último punto no puede más que significar que el Estado territorial (en esta ocasión el Perú) debió exigir que el refugiado sea puesto allende las fronteras del país y que únicamente después de dicha solicitud el Estado otorgante del asilo (en esta ocasión Colombia) podría exigir las garantías pertinentes, para la salida del país del individuo en cuestión. En vista que el Gobierno de Perú no ha solicitado que Haya de la Torre abandone el país, negando la legalidad del asilo que le fue otorgado y por ende se encuentra en todo el derecho a negar el correspondiente salvoconducto, debido a que el Perú lo consideraba un delincuente común, sin derecho a gozar del asilo. En estas condiciones Colombia no pudo haber tenido el derecho a reclamar al Gobierno peruano, garantías necesarias para que Haya de la Torre salga de dicho país.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transcurso de la exposición oral del proceso ante la C. I. J.., fue enunciada la reconvención del Gobierno de Perú, alegando que en virtud al Art. 63 del Reglamento de la Corte, la concesión del asilo por parte del embajador de Colombia al Doctor Víctor Haya de la Torre ha violado la Convención sobre asilo de 1928, y que el mantenimiento del asilo constituía una violación a dicho tratado.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También en la demanda de reconvención la Corte advierte, que no se ha solicitado de manera alguna, la eventual entrega del asilado a los peruanos, y que la citada Convención solo lo ordena cuando se trata de delincuentes comunes, no así para delincuentes políticos.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Perú no ha probado que el encausado haya cometido delitos comunes, y con respecto a la urgencia requerida para el otorgamiento del asilo según lo dice la Convención de La Habana y por tiempo estrictamente indispensable para poner en seguridad al refugiado, fue de entender de la Corte que prima facie tales circunstancias hicieron difícil hablar de un caso de urgencia, en razón de que Haya de la Torre luego de tres meses de ocurrida la rebelión no había procurado en ningún lugar asilo, mientras que los otros perseguidos ya se encontraban asilados antes de la fecha que lo hizo este.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CRITICA AL FALLO DE LA CORTE INTERNACIONAL DE JUSTICIA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nuestro modesto entender a pesar de la ambigüedad y vaguedad de la Sentencia de la Corte, Colombia obtuvo un triunfo moral, ya que las dos principales tesis debatidas durante el juicio, que son: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c)Si el delito era político o 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d)Si Colombia estaba o no obligada a entregar al asilado a Perú.</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la sentencia de la Corte se puede rescatar que el delito era político, con lo cual el asilado quedó implícitamente absuelto de todo delito común, tal cual como lo sostuvo Colombia, y que tampoco estaba obligada a entregar al asilado a las autoridades Peruana.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contra partida Perú solamente resultó favorecida en su segunda tesis, que expresaba que no tenía la obligación de conceder el salvoconducto.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Creemos que la Corte en consonancia con la larga tradición y costumbre latinoamericana debió obligar al Perú a otorgar el salvoconducto, en vista de que no existe otra manera diferente, y que se encuentre consagrada por el Derecho Internacional Americano, como medio idóneo para poner fin a un asilo diplomático legítimamente concedido. La Corte rehuyó a su responsabilidad de señalar lo que a su criterio era el modo mas adecuado de poner fin a este controvertido asilo, ya que ella consideraba que el Perú no tenía la obligación de conceder el salvoconducto, sobre todo si en su fallo del 20 de noviembre de 1950 ella sostuvo que el asilo debía cesar automáticamente después de dictarse dicho fallo.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Evidentemente como afirmara Léopold Koziebrodzki “la idea maestra que inspiró las decisiones de la Corte, fue el carácter sacro- santo y exclusivo de la soberanía nacional. Toda institución que causa perjuicio a la soberanía territorial, y de manera mas general a la independencia del Estado que tiene la exclusividad, la autonomía y la plenitud de su competencia, debe ser considerada como una institución de excepción y, en consecuencia, debe ser interpretada restrictivamente. Toda la construcción jurídica de la Corte resulta de esta toma de posición fundamental”.11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Otro gravísimo error que notamos fue que la Corte, confundió los conceptos de reconvención, con los de excepción. Ciertamente el Perú basó su demanda reconvencional, en la ilicitud del asilo otorgado, por supuestas contravenciones a la convención de la Habana, y también sostenía que no existió “urgencia”para la concesión del asilo; en contrapartida Colombia afirmó y demostró que no había conexión directa entre esa reconvención y la demanda principal, tal cual como lo exige el reglamento de la Corte, y que por ende dicha reconvención devenía improcedente.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hubiesen sido argumentadas como excepciones perentorias, las tan mentadas violaciones a la convención de la Habana, la parte demandante habría podido afirmar la ineficacia jurídica de éstas para destruir el derecho de calificación del delito y de obtención del salvoconducto, y de este modo fuera cual fuere el resultado, la cuestión se habría resuelto mas claramente. Si estas mismas violaciones hubiesen sido ofrecidas por la vía reconvencional, la parte demandante habría tenido la oportunidad de considerarla como base de una acción distinta e independiente, y solamente unida a la demanda principal por su relación con el objeto de la misma, y no con los fundamentos de derecho en que se basa su propia petición, y por ende no tendría la necesidad de preocuparse en que esta destruya su acción, ya que esta no habría sido intentada como excepción.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si hay algo que realmente repugna a la tradición latinoamericana en este fallo, es la afirmación por parte de la Corte que el artículo dos de la Convención de la Habana, según la cual se le otorga al estado territorial el derecho de opción que lo faculte, para si lo cree conveniente, solicitar del Estado asilante que el refugiado sea puesto fuera del territorio nacional, debe ser interpretada “en sentido restrictivo y condicionante”. Este sofisma de la Corte borra de un plumazo la practica ancestral del asilo y la vuelve ineficaz. Pues con este criterio, el Estado asilante solo podría reclamar el salvoconducto, si anteriormente le fuera solicitada la expulsión del territorio del supuesto delincuente. Curiosamente la Corte se contradice en su misma sentencia al afirmar: “que existe seguramente una practica según la cual el agente diplomático solicita inmediatamente un salvoconducto sin aguardar a que el Estado territorial pida la salida del refugiado”.12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Dicha “práctica” que hace mención la Corte es justamente la que autorizaba a Colombia a fundamentar que existe en el Derecho Internacional Americano una larga costumbre de otorgar un salvoconducto en los casos de asilo diplomático. El estatuto de la Corte Internacional de Justicia, expresa en su Art. 38: 1-La Corte, cuya función es decidir conforme al derecho internacional las controversias que le sean sometidas, deberá aplicar:.. inc. b) “la costumbre internacional como prueba de una práctica generalmente aceptada como derecho”13.Contrariando a este articulo la Corte tuvo la fantasía de inventar una supuesta costumbre, de que no era necesario el otorgamiento del salvoconducto. Definitivamente ella incurrió en un inconcebible error de convertir en materia de prueba justamente a un medio probatorio (la costumbre), que era la prueba misma de una práctica aceptada como derecho. Como anteriormente lo demostramos la costumbre, de acuerdo al Estatuto de la Corte, no es materia de prueba, o sea no necesita ser demostrada.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Otra crítica, que podría formularse a este fallo, es la “nueva tesis” elaborada por este Tribunal al interpretar el hecho de que al no ratificar el Perú la Convención de Montevideo de 1933, sobre Derecho de asilo, la estaba repudiando. Hasta antes de este fallo, jamás ninguna doctrina, ni Tribunal alguno, había osado identificar la no ratificación de un tratado con el repudio del mismo. Textualmente esto fue lo que manifestó ella: “la Corte no podría en tal virtud admitir que el Gobierno de Colombia haya probado la existencia de esa costumbre. Suponiendo que esta costumbre haya existido entre algunos Estados de América Latina solamente, ella no podría invocarse con respecto al Perú que, en lugar de haber adherido a ella, la ha, por el contrario repudiado al abstenerse de ratificar las Convenciones de Montevideo de 1933 y 1939, las primeras que han incluido una regla que concierne a la calificación del delito en materia de asilo diplomático”.14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También se debe destacar que la C. I. J. Increíblemente confunde los términos “asilo” y “otorgamiento de asilo”, estableciendo así una distinción entre la regularidad del asilo “concedido y mantenido”. Esta última palabra “mantenido” fue agregada por ella, con lo que vino a crear una nueva condición para la legalidad de dicho asilo, puesto que la noción de mantenimiento del asilo es enteramente exótica en el Derecho Internacional Latinoamericano, además de violentar la esencia del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Igualmente creemos que la C. I. J. con este fallo instituyó un régimen hasta entonces desconocido en Latinoamérica, la “cárcel diplomática”, pues al establecer tan incongruentes decisiones como que: “la República de Colombia no está obligada a entregar el asilado a las autoridades peruanas” y que “el Perú no está obligado a otorgarles a las autoridades colombianas el salvoconducto para que el asilado pueda salir libremente del país”,15 lo único que hizo fue prolongar indefinidamente el asilo en la Embajada.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HECHOS POSTERIORES AL FALLO DE LA CORTE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mismo día en fue dictada la Sentencia Colombia solicitó a la Corte que esta, interprete dicha Sentencia a fin de ser cumplida. Dicho país con el afán de poder llevar a la práctica la Sentencia, preguntó a la Corte: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1- ¿Si debía interpretarse la Sentencia del 20 de noviembre de 1950, en el sentido de que era procedente la calificación del delito hecha por el Gobierno Colombiano, y consecuentemente, debe reconocerse efectos jurídicos a dicha calificación, por cuanto ella a sido confirmada por esta Corte?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¿Debe interpretarse la misma en el sentido de que el Gobierno del Perú no tiene el derecho de exigir la entrega del asilado político, y consecuentemente el Gobierno Colombiano no tiene la obligación de entregarlo, ni aun en el caso de serla requerida?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¿O, por el contrario la Sentencia pronunciada por la Corte respecto a la demanda reconvencional de Perú, embebe la obligación para el Gobierno Colombiano de entregar al refugiado a las autoridades peruanas, aun si estas no la requirieran, teniendo en cuenta el hecho de que se trata de un delincuente político y que la única convención aplicable en el presente caso no la ordena?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Corte rechazó por doce votos contra uno la demanda de interpretación, presentada por Colombia, por considerarla inadmisible.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Como resultado del rechazo de este pedido en fecha 28 de noviembre de 1950 el Gobierno peruano nota mediante, solicita a la Embajada de Colombia la entrega del asilado. Colombia se rehúsa a ello y se dirige a la Corte solicitándole que decida si Colombia está obligada o no a entregar al Señor Víctor Raúl Haya de la Torre al Gobierno peruano.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Corrídole traslado, el Gobierno peruano en su contra-memoria solicita a la Corte, se sirva esta: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1-Declarar de que modo debe ser ejecutada por parte del gobierno Colombiano la Sentencia la Sentencia del 20 de noviembre de 1950.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Rechazar las conclusiones de Colombia, que pretenden no hacer entrega del asilado a las autoridades peruanas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 En el caso de que esta Corte se pronuncie, sobre la conclusión numero uno, se sirva juzgar si el concedido asilo, que a sido juzgado contrario al Art. segundo parágrafo segundo, de la Convención de la Habana de 1928, debió cesar inmediatamente al pronunciamiento de la Sentencia.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Corte en fecha 13 de junio de 1951, por intermedio de una Sentencia declara: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no puede dar curso a la conclusión principal del Gobierno de Colombia y a la primera conclusión del Gobierno del Perú, razón por la cual las rechaza por unanimidad. Con respecto a la conclusión subsidiaria del Gobierno de Colombia y sobre la segunda conclusión del Gobierno del Perú, por trece votos contra uno, declara que Colombia no está obligada a entregar a Víctor Raúl Haya de la Torre a las autoridades peruanas; y decide rechazar por unanimidad la tercera conclusión del Gobierno peruano y en consecuencia declara que el asilo otorgádole desde la fecha 3 de enero de 1949 y mantenido desde entonces debió haber cesado inmediatamente con el pronunciamiento de la Sentencia de fecha 20 de noviembre de 1950.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incongruente fallo motivó que ante la imposibilidad de su cumplimiento los estados decidieran realizar negociaciones, llegando a un acuerdo en fecha 22 de marzo de 1954, en que los plenipotenciarios de ambos países, nombrados ad-hoc finalmente en Bogotá lo suscribieron. Dicho acuerdo estipulaba que el Gobierno del Perú, luego de realizar una diligencia instructiva en la sede de la Embajada Colombiana, procedería a dictar un decreto de extrañamiento del Dr. Haya de la Torre del territorio peruano. En cumplimiento de dicho acuerdo el Gobierno peruano emitió un decreto en fecha 6 de abril de 1954 por el que lo expulsa de su territorio, embarcándose el otrora asilado con destino a México.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Debemos resaltar que de esta manera concluyó el asilo del Dr. Haya de la Torre, verdadera “cárcel Diplomática”, que se prolongó nada más y nada menos, por ¡cinco años y tres meses!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conclusión final, quisiéramos destacar que, a pesar de las peripecias, e incidentes diplomáticos acaecidos, la humanitaria institución del asilo cumplió una vez más en Latinoamérica con su noble cometido de salvar vidas humanas, y que gracias a esto el Dr. Haya de la Torre salvó su valiosa vida, que con el devenir del tiempo prestó valiosos servicios a su patria.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Finalmente el ilustre político y líder indiscutido del A.P.R.A. falleció el 2 de Agosto de 1979, recibiendo un funeral apoteósico, como nunca antes se había visto en el Perú.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e)LUQUE ÁNGEL, Eduardo. “El Derecho de Asilo (Tesis Doctoral)”. Bogotá, 1959.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f)KOZIEBROZKI, LÉOPOLD. “Le Droit D’Asile”. París. 1956.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g)OMEBA, ENCICLOPEDIA JURÍDICA. Ed. Bibliográfica Argentina. Buenos Aires. 1954.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h)NACIONES UNIDAS. “Estatuto de la Corte Internacional de Justicia”. New York, 1945.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i)NACIONES UNIDAS. “Derechos Humanos. Recopilación de Instrumentos Internacionales”. New York, 1988.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j)PODESTA COSTA, LUIS ALBERTO RUDA, JOSÉ MARÍA. “Derecho Internacional Público”. Tomo II. Editorial TEA. Buenos Aires, 1997.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k)TORRES GIGENA, CARLOS. “Asilo Diplomático. Su Práctica y Teoría”. La Ley S.A. Editora e Impresora. Buenos Aires, 1960.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l)URSUA, FRANCISCO A. “El Asilo Diplomático”. Editorial Porrua S.A. México, 1952.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0"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4" w:name="14"/>
            <w:bookmarkEnd w:id="14"/>
            <w:r w:rsidRPr="001B7F27">
              <w:rPr>
                <w:rFonts w:ascii="Arial" w:eastAsia="Times New Roman" w:hAnsi="Arial" w:cs="Arial"/>
                <w:b/>
                <w:bCs/>
                <w:color w:val="009933"/>
                <w:sz w:val="20"/>
                <w:szCs w:val="20"/>
                <w:lang w:eastAsia="es-AR"/>
              </w:rPr>
              <w:t>"El Derecho de Propiedad y Dominio. Su carácter Social "</w:t>
            </w:r>
            <w:r w:rsidRPr="001B7F27">
              <w:rPr>
                <w:rFonts w:ascii="Arial" w:eastAsia="Times New Roman" w:hAnsi="Arial" w:cs="Arial"/>
                <w:color w:val="003399"/>
                <w:sz w:val="17"/>
                <w:szCs w:val="17"/>
                <w:lang w:eastAsia="es-AR"/>
              </w:rPr>
              <w:br/>
              <w:t>Dionisia Vera Quintana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Civil y Comercial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1"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Derecho de Propiedad es, sin duda, el más completo de los Derechos Reales. El que nos permite ejercer sobre las cosas el mayor número de facultades como los de usar, gozar, enajenar, poseer y disponer de la cosa. En realidad, todos los derechos reales no son sino desprendimientos del Derecho Real de DOMINIO.</w:t>
            </w:r>
            <w:r w:rsidRPr="001B7F27">
              <w:rPr>
                <w:rFonts w:ascii="Arial" w:eastAsia="Times New Roman" w:hAnsi="Arial" w:cs="Arial"/>
                <w:color w:val="003399"/>
                <w:sz w:val="17"/>
                <w:szCs w:val="17"/>
                <w:lang w:eastAsia="es-AR"/>
              </w:rPr>
              <w:br/>
              <w:t>Como definiciones doctrinales del dominio cabe citar: PLENO DOMINIO es aquel en que la facultad de disponer de la cosa, y de vindicarla, habiendo sido dejada, se junta con la facultad de percibir toda la utilidad (Pothier). Para Demolombe es el poder soberano y absoluto que pertenece a una persona sobre un bien corporal o incorporal, haciéndolo propio. Y por último para el jurista Savigny es la extensión de la libertad individual o derecho a percibir la mayor suma de utilidades que produzca una cosa.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DOMINIO EN NUESTRA LEGISLACIÓN: </w:t>
            </w:r>
            <w:r w:rsidRPr="001B7F27">
              <w:rPr>
                <w:rFonts w:ascii="Arial" w:eastAsia="Times New Roman" w:hAnsi="Arial" w:cs="Arial"/>
                <w:color w:val="003399"/>
                <w:sz w:val="17"/>
                <w:szCs w:val="17"/>
                <w:lang w:eastAsia="es-AR"/>
              </w:rPr>
              <w:br/>
              <w:t>La Constitución Nacional garantiza la propiedad privada en el Art.109 que expresa de esta manera: - Se garantiza la propiedad privada, cuyo contenido y límites serán establecidos por la ley, atendiendo a su función económica y social, a fin de hacerla accesible para todos. La propiedad privada es inviolable. Nadie puede ser privado de su propiedad sino en virtud de sentencia judicial, pero se admite la expropiación con fin de utilidad pública o de interés social, que será determinada en cada caso por ley. Esta garantizará el previo pago de una justa indemnización, establecida convencionalmente o por sentencia judicial, salvo los latifundios improductivos destinados a la reforma agraria, conforme con el procedimiento para las expropiaciones a establecerse por ley.</w:t>
            </w:r>
            <w:r w:rsidRPr="001B7F27">
              <w:rPr>
                <w:rFonts w:ascii="Arial" w:eastAsia="Times New Roman" w:hAnsi="Arial" w:cs="Arial"/>
                <w:color w:val="003399"/>
                <w:sz w:val="17"/>
                <w:szCs w:val="17"/>
                <w:lang w:eastAsia="es-AR"/>
              </w:rPr>
              <w:br/>
              <w:t>- Este derecho se encuentra limitado atendiendo a su función económica y social a fin de hacerla más accesible para todos.</w:t>
            </w:r>
            <w:r w:rsidRPr="001B7F27">
              <w:rPr>
                <w:rFonts w:ascii="Arial" w:eastAsia="Times New Roman" w:hAnsi="Arial" w:cs="Arial"/>
                <w:color w:val="003399"/>
                <w:sz w:val="17"/>
                <w:szCs w:val="17"/>
                <w:lang w:eastAsia="es-AR"/>
              </w:rPr>
              <w:br/>
              <w:t>En este sentido, la función social atribuida al Derecho de Propiedad, lo dignifica y, por consiguiente, lo legitima.</w:t>
            </w:r>
            <w:r w:rsidRPr="001B7F27">
              <w:rPr>
                <w:rFonts w:ascii="Arial" w:eastAsia="Times New Roman" w:hAnsi="Arial" w:cs="Arial"/>
                <w:color w:val="003399"/>
                <w:sz w:val="17"/>
                <w:szCs w:val="17"/>
                <w:lang w:eastAsia="es-AR"/>
              </w:rPr>
              <w:br/>
              <w:t>Por eso, Borda señala, que el gran problema de nuestra época es el que consiste en tratar de conciliar los intereses del dueño con los intereses sociales; es decir, hasta donde es posible socializar el Derecho de Propiedad, sin que pierda su condición de tal – así como lo conocemos – de estimulante de la economía y de la actividad humana.</w:t>
            </w:r>
            <w:r w:rsidRPr="001B7F27">
              <w:rPr>
                <w:rFonts w:ascii="Arial" w:eastAsia="Times New Roman" w:hAnsi="Arial" w:cs="Arial"/>
                <w:color w:val="003399"/>
                <w:sz w:val="17"/>
                <w:szCs w:val="17"/>
                <w:lang w:eastAsia="es-AR"/>
              </w:rPr>
              <w:br/>
              <w:t xml:space="preserve">El Código Civil Paraguayo, en el libro IV, Título III Del Derecho De Propiedad, Capítulo I De las Disposiciones </w:t>
            </w:r>
            <w:r w:rsidRPr="001B7F27">
              <w:rPr>
                <w:rFonts w:ascii="Arial" w:eastAsia="Times New Roman" w:hAnsi="Arial" w:cs="Arial"/>
                <w:color w:val="003399"/>
                <w:sz w:val="17"/>
                <w:szCs w:val="17"/>
                <w:lang w:eastAsia="es-AR"/>
              </w:rPr>
              <w:lastRenderedPageBreak/>
              <w:t>Generales expresa, en sus artículos siguientes, en cuanto sigue:</w:t>
            </w:r>
            <w:r w:rsidRPr="001B7F27">
              <w:rPr>
                <w:rFonts w:ascii="Arial" w:eastAsia="Times New Roman" w:hAnsi="Arial" w:cs="Arial"/>
                <w:color w:val="003399"/>
                <w:sz w:val="17"/>
                <w:szCs w:val="17"/>
                <w:lang w:eastAsia="es-AR"/>
              </w:rPr>
              <w:br/>
              <w:t>Art.1953. Todo derecho real sólo puede ser creado por la ley. Los contratos o disposiciones de última voluntad que tuviesen por fin constituir derechos reales o modificarlos que este Código reconoce, valdrán como actos jurídicos constitutivos de derechos personales, si como tales pudiesen valer.</w:t>
            </w:r>
            <w:r w:rsidRPr="001B7F27">
              <w:rPr>
                <w:rFonts w:ascii="Arial" w:eastAsia="Times New Roman" w:hAnsi="Arial" w:cs="Arial"/>
                <w:color w:val="003399"/>
                <w:sz w:val="17"/>
                <w:szCs w:val="17"/>
                <w:lang w:eastAsia="es-AR"/>
              </w:rPr>
              <w:br/>
              <w:t>Son derechos reales: el dominio y el condominio, el usufructo, el uso y la habitación, las servidumbres prediales, la prenda y la hipoteca.</w:t>
            </w:r>
            <w:r w:rsidRPr="001B7F27">
              <w:rPr>
                <w:rFonts w:ascii="Arial" w:eastAsia="Times New Roman" w:hAnsi="Arial" w:cs="Arial"/>
                <w:color w:val="003399"/>
                <w:sz w:val="17"/>
                <w:szCs w:val="17"/>
                <w:lang w:eastAsia="es-AR"/>
              </w:rPr>
              <w:br/>
              <w:t>Art. 1954. La ley garantiza al propietario el derecho pleno y exclusivo de usar, gozar y disponer de sus bienes, dentro de los límites y con la observancia de las obligaciones establecidas en este Código, conforme con la función social y económica atribuida por la Constitución Nacional al derecho de propiedad. También tiene la facultad legítima de repeler la usurpación de los mismos y recuperarlos del poder de quien los posea injustamente.</w:t>
            </w:r>
            <w:r w:rsidRPr="001B7F27">
              <w:rPr>
                <w:rFonts w:ascii="Arial" w:eastAsia="Times New Roman" w:hAnsi="Arial" w:cs="Arial"/>
                <w:color w:val="003399"/>
                <w:sz w:val="17"/>
                <w:szCs w:val="17"/>
                <w:lang w:eastAsia="es-AR"/>
              </w:rPr>
              <w:br/>
              <w:t>El propietario tiene la facultad de ejecutar respecto de la cosa todos los actos jurídicos de que ella es legalmente susceptible; arrendarla y enajenarla a título oneroso o gratuito. Y si es inmueble, gravarla con servidumbres o hipotecas.</w:t>
            </w:r>
            <w:r w:rsidRPr="001B7F27">
              <w:rPr>
                <w:rFonts w:ascii="Arial" w:eastAsia="Times New Roman" w:hAnsi="Arial" w:cs="Arial"/>
                <w:color w:val="003399"/>
                <w:sz w:val="17"/>
                <w:szCs w:val="17"/>
                <w:lang w:eastAsia="es-AR"/>
              </w:rPr>
              <w:br/>
              <w:t>Puede abdicar su propiedad y abandonar la simplemente, sin transmitirla a otra persona.</w:t>
            </w:r>
            <w:r w:rsidRPr="001B7F27">
              <w:rPr>
                <w:rFonts w:ascii="Arial" w:eastAsia="Times New Roman" w:hAnsi="Arial" w:cs="Arial"/>
                <w:color w:val="003399"/>
                <w:sz w:val="17"/>
                <w:szCs w:val="17"/>
                <w:lang w:eastAsia="es-AR"/>
              </w:rPr>
              <w:br/>
              <w:t>Art. 1955. El dominio se llama pleno o perfecto cuando todos sus derechos elementales se hallan reunidos en el propietario, y la cosa no está gravada con ningún derecho real hacia otras personas. Se llama menos pleno o imperfecto, cuando debe resolverse, al fin de cierto plazo o al advenimiento de una condición, o si la cosa que forma su objeto es un es un inmueble gravado respecto de terceros con un derecho real que este Código autoriza.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DOMINIO EN LAS DIFERENTES DOCTRINAS.</w:t>
            </w:r>
            <w:r w:rsidRPr="001B7F27">
              <w:rPr>
                <w:rFonts w:ascii="Arial" w:eastAsia="Times New Roman" w:hAnsi="Arial" w:cs="Arial"/>
                <w:color w:val="003399"/>
                <w:sz w:val="17"/>
                <w:szCs w:val="17"/>
                <w:lang w:eastAsia="es-AR"/>
              </w:rPr>
              <w:br/>
              <w:t>CAPITALISMO.</w:t>
            </w:r>
            <w:r w:rsidRPr="001B7F27">
              <w:rPr>
                <w:rFonts w:ascii="Arial" w:eastAsia="Times New Roman" w:hAnsi="Arial" w:cs="Arial"/>
                <w:color w:val="003399"/>
                <w:sz w:val="17"/>
                <w:szCs w:val="17"/>
                <w:lang w:eastAsia="es-AR"/>
              </w:rPr>
              <w:br/>
              <w:t>Es un sistema económico, en el que los individuos privados y las empresas de negocios llevan a cabo la producción y el intercambio de bienes y servicios mediante complejas transacciones en las que intervienen los precios y los mercados.</w:t>
            </w:r>
            <w:r w:rsidRPr="001B7F27">
              <w:rPr>
                <w:rFonts w:ascii="Arial" w:eastAsia="Times New Roman" w:hAnsi="Arial" w:cs="Arial"/>
                <w:color w:val="003399"/>
                <w:sz w:val="17"/>
                <w:szCs w:val="17"/>
                <w:lang w:eastAsia="es-AR"/>
              </w:rPr>
              <w:br/>
              <w:t xml:space="preserve">Se puede decir que, de existir un fundador del sistema capitalista, éste es el filósofo escocés Adam Smith, que fue el primero en describir los principios económicos básicos que definen al capitalismo. En su obra clásica Investigación sobre la naturaleza y causas de la riqueza de las naciones (1776), Smith intentó demostrar que era posible buscar la ganancia personal de forma que no sólo se pudiera alcanzar el objetivo individual sino también la mejora de la sociedad. </w:t>
            </w:r>
            <w:r w:rsidRPr="001B7F27">
              <w:rPr>
                <w:rFonts w:ascii="Arial" w:eastAsia="Times New Roman" w:hAnsi="Arial" w:cs="Arial"/>
                <w:color w:val="003399"/>
                <w:sz w:val="17"/>
                <w:szCs w:val="17"/>
                <w:lang w:eastAsia="es-AR"/>
              </w:rPr>
              <w:br/>
              <w:t>Los intereses sociales radican en lograr el máximo nivel de producción de los bienes que la gente desea poseer. Con una frase que se ha hecho famosa, Smith decía que la combinación del interés personal, la propiedad y la competencia entre vendedores en el mercado llevaría a los productores, "gracias a una mano invisible", a alcanzar un objetivo que no habían buscado de manera consciente: el bienestar de la sociedad.</w:t>
            </w:r>
            <w:r w:rsidRPr="001B7F27">
              <w:rPr>
                <w:rFonts w:ascii="Arial" w:eastAsia="Times New Roman" w:hAnsi="Arial" w:cs="Arial"/>
                <w:color w:val="003399"/>
                <w:sz w:val="17"/>
                <w:szCs w:val="17"/>
                <w:lang w:eastAsia="es-AR"/>
              </w:rPr>
              <w:br/>
              <w:t xml:space="preserve">Características del capitalismo </w:t>
            </w:r>
            <w:r w:rsidRPr="001B7F27">
              <w:rPr>
                <w:rFonts w:ascii="Arial" w:eastAsia="Times New Roman" w:hAnsi="Arial" w:cs="Arial"/>
                <w:color w:val="003399"/>
                <w:sz w:val="17"/>
                <w:szCs w:val="17"/>
                <w:lang w:eastAsia="es-AR"/>
              </w:rPr>
              <w:br/>
              <w:t xml:space="preserve">A lo largo de su historia, pero sobre todo durante su auge en la segunda mitad del siglo XIX, el capitalismo tuvo una serie de características básicas. </w:t>
            </w:r>
            <w:r w:rsidRPr="001B7F27">
              <w:rPr>
                <w:rFonts w:ascii="Arial" w:eastAsia="Times New Roman" w:hAnsi="Arial" w:cs="Arial"/>
                <w:color w:val="003399"/>
                <w:sz w:val="17"/>
                <w:szCs w:val="17"/>
                <w:lang w:eastAsia="es-AR"/>
              </w:rPr>
              <w:br/>
              <w:t xml:space="preserve">En primer lugar, los medios de producción —tierra y capital— son de propiedad privada. En este contexto el capital se refiere a los edificios, la maquinaria y otras herramientas utilizadas para producir bienes y servicios destinados al consumo. </w:t>
            </w:r>
            <w:r w:rsidRPr="001B7F27">
              <w:rPr>
                <w:rFonts w:ascii="Arial" w:eastAsia="Times New Roman" w:hAnsi="Arial" w:cs="Arial"/>
                <w:color w:val="003399"/>
                <w:sz w:val="17"/>
                <w:szCs w:val="17"/>
                <w:lang w:eastAsia="es-AR"/>
              </w:rPr>
              <w:br/>
              <w:t xml:space="preserve">En segundo lugar, la actividad económica aparece organizada y coordinada por la interacción entre compradores y vendedores (o productores) que se produce en los mercados. </w:t>
            </w:r>
            <w:r w:rsidRPr="001B7F27">
              <w:rPr>
                <w:rFonts w:ascii="Arial" w:eastAsia="Times New Roman" w:hAnsi="Arial" w:cs="Arial"/>
                <w:color w:val="003399"/>
                <w:sz w:val="17"/>
                <w:szCs w:val="17"/>
                <w:lang w:eastAsia="es-AR"/>
              </w:rPr>
              <w:br/>
              <w:t xml:space="preserve">En tercer lugar, tanto los propietarios de la tierra y el capital como los trabajadores, son libres y buscan maximizar su bienestar, por lo que intentan sacar el mayor partido posible de sus recursos y del trabajo que utilizan para producir; los consumidores pueden gastar como y cuando quieran sus ingresos para obtener la mayor satisfacción posible. Este principio, que se denomina soberanía del consumidor, refleja que, en un sistema capitalista, los productores se verán obligados, debido a la competencia, a utilizar sus recursos de forma que puedan satisfacer la demanda de los consumidores; el interés personal y la búsqueda de beneficios les lleva a seguir esta estrategia. </w:t>
            </w:r>
            <w:r w:rsidRPr="001B7F27">
              <w:rPr>
                <w:rFonts w:ascii="Arial" w:eastAsia="Times New Roman" w:hAnsi="Arial" w:cs="Arial"/>
                <w:color w:val="003399"/>
                <w:sz w:val="17"/>
                <w:szCs w:val="17"/>
                <w:lang w:eastAsia="es-AR"/>
              </w:rPr>
              <w:br/>
              <w:t>En cuarto lugar, bajo el sistema capitalista el control del sector privado por parte del sector público debe ser mínimo; se considera que si existe competencia, la actividad económica se controlará a sí misma; la actividad del gobierno sólo es necesaria para gestionar la defensa nacional, hacer respetar la propiedad privada y garantizar el cumplimiento de los contratos. Esta visión decimonónica del papel del Estado en el sistema capitalista ha cambiado mucho durante el siglo XX.</w:t>
            </w:r>
            <w:r w:rsidRPr="001B7F27">
              <w:rPr>
                <w:rFonts w:ascii="Arial" w:eastAsia="Times New Roman" w:hAnsi="Arial" w:cs="Arial"/>
                <w:color w:val="003399"/>
                <w:sz w:val="17"/>
                <w:szCs w:val="17"/>
                <w:lang w:eastAsia="es-AR"/>
              </w:rPr>
              <w:br/>
              <w:t>El desarrollo del capitalismo industrial tuvo importantes costes sociales. Al principio, la industrialización se caracterizó por las inhumanas condiciones de trabajo de la clase trabajadora. La explotación infantil, las jornadas laborales de 16 y 18 horas, y la insalubridad y peligrosidad de las fábricas eran circunstancias comunes. Estas condiciones llevaron a que surgieran numerosos críticos del sistema que defendían distintos sistemas de propiedad comunitaria o socializado; son los llamados socialistas utópicos. Sin embargo, el primero en desarrollar una teoría coherente fue Karl Marx, que pasó la mayor parte de su vida en Inglaterra, país precursor del proceso de industrialización, y autor de Das Kapital (El capital, 3 volúmenes, 1867-1894). La obra de Marx, base intelectual de los sistemas comunistas que predominaron en la antigua Unión Soviética, atacaba el principio fundamental del capitalismo: la propiedad privada de los medios de producción. Marx pensaba que la tierra y el capital debían pertenecer a la comunidad y que los productos del sistema debían distribuirse en función de las distintas necesidades.</w:t>
            </w:r>
            <w:r w:rsidRPr="001B7F27">
              <w:rPr>
                <w:rFonts w:ascii="Arial" w:eastAsia="Times New Roman" w:hAnsi="Arial" w:cs="Arial"/>
                <w:color w:val="003399"/>
                <w:sz w:val="17"/>
                <w:szCs w:val="17"/>
                <w:lang w:eastAsia="es-AR"/>
              </w:rPr>
              <w:br/>
              <w:t xml:space="preserve">Con el capitalismo aparecieron los ciclos económicos: periodos de expansión y prosperidad seguidos de recesiones y depresiones económicas que se caracterizan por la discriminación de la actividad productiva y el aumento del desempleo. Los economistas clásicos que siguieron las ideas de Adam Smith no podían explicar estos altibajos de la </w:t>
            </w:r>
            <w:r w:rsidRPr="001B7F27">
              <w:rPr>
                <w:rFonts w:ascii="Arial" w:eastAsia="Times New Roman" w:hAnsi="Arial" w:cs="Arial"/>
                <w:color w:val="003399"/>
                <w:sz w:val="17"/>
                <w:szCs w:val="17"/>
                <w:lang w:eastAsia="es-AR"/>
              </w:rPr>
              <w:lastRenderedPageBreak/>
              <w:t>actividad económica y consideraban que era el precio inevitable que había que pagar por el progreso que permitía el desarrollo capitalista. Las críticas marxistas y las frecuentes depresiones económicas que se sucedían en los principales países capitalistas ayudaron a la creación de movimientos sindicales que luchaban para lograr aumentos salariales, disminución de la jornada laboral y mejores condiciones laborales.</w:t>
            </w:r>
            <w:r w:rsidRPr="001B7F27">
              <w:rPr>
                <w:rFonts w:ascii="Arial" w:eastAsia="Times New Roman" w:hAnsi="Arial" w:cs="Arial"/>
                <w:color w:val="003399"/>
                <w:sz w:val="17"/>
                <w:szCs w:val="17"/>
                <w:lang w:eastAsia="es-AR"/>
              </w:rPr>
              <w:br/>
              <w:t>El acontecimiento más importante de la historia reciente del capitalismo fue la publicación de la obra de John Maynard Keynes, La teoría general del empleo, el interés y el dinero (1936). Al igual que las ideas de Adam Smith en el siglo XVIII, el pensamiento de Keynes modificó en lo más profundo las ideas capitalistas, creándose una nueva escuela de pensamiento económico denominada keynesianismo.</w:t>
            </w:r>
            <w:r w:rsidRPr="001B7F27">
              <w:rPr>
                <w:rFonts w:ascii="Arial" w:eastAsia="Times New Roman" w:hAnsi="Arial" w:cs="Arial"/>
                <w:color w:val="003399"/>
                <w:sz w:val="17"/>
                <w:szCs w:val="17"/>
                <w:lang w:eastAsia="es-AR"/>
              </w:rPr>
              <w:br/>
              <w:t>Keynes demostró que un gobierno puede utilizar su poder económico, su capacidad de gasto, sus impuestos y el control de la oferta monetaria para paliar, e incluso en ocasiones eliminar, el mayor inconveniente del capitalismo: los ciclos de expansión y depresión. Según Keynes, durante una depresión económica el gobierno debe aumentar el gasto público, aun a costa de incurrir en déficits presupuestarios, para compensar la caída del gasto privado. En una etapa de expansión económica, la reacción debe ser la contraria si la expansión está provocando movimientos especulativos e inflacionistas.</w:t>
            </w:r>
            <w:r w:rsidRPr="001B7F27">
              <w:rPr>
                <w:rFonts w:ascii="Arial" w:eastAsia="Times New Roman" w:hAnsi="Arial" w:cs="Arial"/>
                <w:color w:val="003399"/>
                <w:sz w:val="17"/>
                <w:szCs w:val="17"/>
                <w:lang w:eastAsia="es-AR"/>
              </w:rPr>
              <w:br/>
              <w:t xml:space="preserve">Previsiones de futuro </w:t>
            </w:r>
            <w:r w:rsidRPr="001B7F27">
              <w:rPr>
                <w:rFonts w:ascii="Arial" w:eastAsia="Times New Roman" w:hAnsi="Arial" w:cs="Arial"/>
                <w:color w:val="003399"/>
                <w:sz w:val="17"/>
                <w:szCs w:val="17"/>
                <w:lang w:eastAsia="es-AR"/>
              </w:rPr>
              <w:br/>
              <w:t>Durante los 25 años posteriores a la II Guerra Mundial, la combinación de las ideas keynesianas con el capitalismo generó una enorme expansión económica. Todos los países capitalistas, también aquéllos que perdieron la guerra, lograron un crecimiento constante, con bajas tasas de inflación y crecientes niveles de vida. Sin embargo a principios de la década de 1960 la inflación y el desempleo empezaron a crecer en todas las economías capitalistas, en las que las fórmulas keynesianas habían dejado de funcionar. La menor oferta de energía y los crecientes costos de la misma (en especial del petróleo) fueron las principales causas de este cambio. Aparecieron nuevas demandas, como por ejemplo la exigencia de limitar la contaminación medioambiental, fomentar la igualdad de oportunidades y salarial para las mujeres y las minorías, y la exigencia de indemnizaciones por daños causados por productos en mal estado o por accidentes laborales. Al mismo tiempo el gasto en materia social de los gobiernos seguía creciendo, así como la mayor intervención de éstos en la economía.</w:t>
            </w:r>
            <w:r w:rsidRPr="001B7F27">
              <w:rPr>
                <w:rFonts w:ascii="Arial" w:eastAsia="Times New Roman" w:hAnsi="Arial" w:cs="Arial"/>
                <w:color w:val="003399"/>
                <w:sz w:val="17"/>
                <w:szCs w:val="17"/>
                <w:lang w:eastAsia="es-AR"/>
              </w:rPr>
              <w:br/>
              <w:t>El principal objetivo de los países capitalistas consiste en garantizar un alto nivel de empleo al tiempo que se pretende mantener la estabilidad de los precios. Es, sin duda, un objetivo muy ambicioso pero, a la vista de la flexibilidad del sistema capitalista, no sólo resulta razonable sino, también, asequible.</w:t>
            </w:r>
            <w:r w:rsidRPr="001B7F27">
              <w:rPr>
                <w:rFonts w:ascii="Arial" w:eastAsia="Times New Roman" w:hAnsi="Arial" w:cs="Arial"/>
                <w:color w:val="003399"/>
                <w:sz w:val="17"/>
                <w:szCs w:val="17"/>
                <w:lang w:eastAsia="es-AR"/>
              </w:rPr>
              <w:br/>
              <w:t>FASCISMO</w:t>
            </w:r>
            <w:r w:rsidRPr="001B7F27">
              <w:rPr>
                <w:rFonts w:ascii="Arial" w:eastAsia="Times New Roman" w:hAnsi="Arial" w:cs="Arial"/>
                <w:color w:val="003399"/>
                <w:sz w:val="17"/>
                <w:szCs w:val="17"/>
                <w:lang w:eastAsia="es-AR"/>
              </w:rPr>
              <w:br/>
              <w:t>A esta corriente se le conoce como una forma de totalitarismo del siglo XX que pretende la estricta reglamentación de la existencia nacional e individual de acuerdo con ideales nacionalistas y a menudo militaristas; los intereses contrapuestos se resuelven mediante la total subordinación al servicio del Estado y una lealtad incondicional a su líder. En contraste con los totalitarismos de izquierdas identificados con el comunismo, el fascismo basa sus ideas y formas en el conservadurismo extremo. Los regímenes fascistas se parecen a menudo a dictaduras —y a veces se transforman en ellas—, a gobiernos militares o a tiranías autoritarias, pero el fascismo en sí mismo se distingue de cualquiera de estos regímenes por ser de forma concentrada un movimiento político y una doctrina sustentados por partidos políticos al margen del poder.</w:t>
            </w:r>
            <w:r w:rsidRPr="001B7F27">
              <w:rPr>
                <w:rFonts w:ascii="Arial" w:eastAsia="Times New Roman" w:hAnsi="Arial" w:cs="Arial"/>
                <w:color w:val="003399"/>
                <w:sz w:val="17"/>
                <w:szCs w:val="17"/>
                <w:lang w:eastAsia="es-AR"/>
              </w:rPr>
              <w:br/>
              <w:t xml:space="preserve">Las doctrinas fascistas </w:t>
            </w:r>
            <w:r w:rsidRPr="001B7F27">
              <w:rPr>
                <w:rFonts w:ascii="Arial" w:eastAsia="Times New Roman" w:hAnsi="Arial" w:cs="Arial"/>
                <w:color w:val="003399"/>
                <w:sz w:val="17"/>
                <w:szCs w:val="17"/>
                <w:lang w:eastAsia="es-AR"/>
              </w:rPr>
              <w:br/>
              <w:t xml:space="preserve">Antes de la I Guerra Mundial, algunos escritores, entre ellos el famoso poeta italiano Gabriele D’Annunzio, y los pensadores franceses Georges Sorel, Maurice Barrès, Charles Maurras y el conde Joseph de Gobineau, expresaron ideas fascistas. Todos ellos se opusieron a los valores de la Ilustración de individualismo, democracia y racionalismo secular; y, en conjunto, sus ideas han sido presentadas como una reacción a estos valores que fueron representados por la Revolución Francesa. </w:t>
            </w:r>
            <w:r w:rsidRPr="001B7F27">
              <w:rPr>
                <w:rFonts w:ascii="Arial" w:eastAsia="Times New Roman" w:hAnsi="Arial" w:cs="Arial"/>
                <w:color w:val="003399"/>
                <w:sz w:val="17"/>
                <w:szCs w:val="17"/>
                <w:lang w:eastAsia="es-AR"/>
              </w:rPr>
              <w:br/>
              <w:t>Algunos fascistas recurrieron al cristianismo como una fuerza conservadora, mientras otros rechazaban la moralidad cristiana por reprimir la voluntad.</w:t>
            </w:r>
            <w:r w:rsidRPr="001B7F27">
              <w:rPr>
                <w:rFonts w:ascii="Arial" w:eastAsia="Times New Roman" w:hAnsi="Arial" w:cs="Arial"/>
                <w:color w:val="003399"/>
                <w:sz w:val="17"/>
                <w:szCs w:val="17"/>
                <w:lang w:eastAsia="es-AR"/>
              </w:rPr>
              <w:br/>
              <w:t>Muchos tomaron ideas del darwinismo social sobre la lucha competitiva en y entre los estados y sobre la obligación evolutiva que tiene el fuerte de aplastar al débil: esas ideas a menudo implicaban racismo. La mayoría de los teóricos fascistas abrazó el nacionalismo extremo que, en algunos casos (Gobineau, Barrès, Maurras) incluía el antisemitismo. Como parte de su antirracionalismo, algunos propusieron un culto místico a la tradición y al Estado.</w:t>
            </w:r>
            <w:r w:rsidRPr="001B7F27">
              <w:rPr>
                <w:rFonts w:ascii="Arial" w:eastAsia="Times New Roman" w:hAnsi="Arial" w:cs="Arial"/>
                <w:color w:val="003399"/>
                <w:sz w:val="17"/>
                <w:szCs w:val="17"/>
                <w:lang w:eastAsia="es-AR"/>
              </w:rPr>
              <w:br/>
              <w:t xml:space="preserve">Fascismo italiano. </w:t>
            </w:r>
            <w:r w:rsidRPr="001B7F27">
              <w:rPr>
                <w:rFonts w:ascii="Arial" w:eastAsia="Times New Roman" w:hAnsi="Arial" w:cs="Arial"/>
                <w:color w:val="003399"/>
                <w:sz w:val="17"/>
                <w:szCs w:val="17"/>
                <w:lang w:eastAsia="es-AR"/>
              </w:rPr>
              <w:br/>
              <w:t xml:space="preserve">El término actual fascismo fue utilizado por primera vez por Benito Mussolini en 1919 y hacía referencia al antiguo símbolo romano del poder, los fasces, unos cuantos palos atados a un eje, que representaban la unidad cívica y la autoridad de los oficiales romanos para castigar a los delincuentes. Mussolini, el fundador del Partido Nacional Fascista italiano, inició su carrera política en las filas del Partido Socialista. En 1912, como director del principal periódico socialista italiano, Avanti, se oponía tanto al capitalismo como al militarismo. En 1914, sin embargo, cambió de actitud pidiendo que Italia entrara en la I Guerra Mundial y se acercó a la derecha política. Influenciado por las teorías de Sorel y Nietzsche, glorificó la “acción” y la “vitalidad”. Tras la contienda, cuando diversas huelgas en las ciudades y en el campo, respaldadas por los socialistas, estallaron en toda Italia, Mussolini puso su movimiento al servicio de los empresarios conservadores y de los intereses de los propietarios de las tierras que, junto con la Iglesia católica de Roma y el Ejército, querían detener la “oleada roja”. El cambio de Mussolini le aportó el apoyo político y financiero que necesitaba y su considerable poder oratorio hizo el resto (al igual que Hitler en Alemania fue un demagogo dotado de una gran efectividad). Sus Fascios Italianos de Combate, creados en 1919 y llamados ‘Camisas Negras’ a ejemplo de los ‘Camisas Rojas’ del líder de la unificación italiana, Giuseppe Garibaldi, dieron fuerza efectiva al movimiento e implantaron la moda del estilo fascista paramilitar. En 1922, Mussolini se hizo con el control del gobierno italiano amenazando con un golpe de Estado si se rechazaban sus demandas. Al principio gobernó de manera constitucional encabezando una coalición de partidos, pronto se deshizo de los obstáculos que </w:t>
            </w:r>
            <w:r w:rsidRPr="001B7F27">
              <w:rPr>
                <w:rFonts w:ascii="Arial" w:eastAsia="Times New Roman" w:hAnsi="Arial" w:cs="Arial"/>
                <w:color w:val="003399"/>
                <w:sz w:val="17"/>
                <w:szCs w:val="17"/>
                <w:lang w:eastAsia="es-AR"/>
              </w:rPr>
              <w:lastRenderedPageBreak/>
              <w:t>ponían freno a su autoridad e implantó una dictadura. Todos los partidos políticos, excepto el Partido Fascista, fueron prohibidos y Mussolini se convirtió en el Duce (el líder del partido). Se abolieron los sindicatos, las huelgas fueron prohibidas y los opositores políticos silenciados.</w:t>
            </w:r>
            <w:r w:rsidRPr="001B7F27">
              <w:rPr>
                <w:rFonts w:ascii="Arial" w:eastAsia="Times New Roman" w:hAnsi="Arial" w:cs="Arial"/>
                <w:color w:val="003399"/>
                <w:sz w:val="17"/>
                <w:szCs w:val="17"/>
                <w:lang w:eastAsia="es-AR"/>
              </w:rPr>
              <w:br/>
              <w:t>MARXISMO</w:t>
            </w:r>
            <w:r w:rsidRPr="001B7F27">
              <w:rPr>
                <w:rFonts w:ascii="Arial" w:eastAsia="Times New Roman" w:hAnsi="Arial" w:cs="Arial"/>
                <w:color w:val="003399"/>
                <w:sz w:val="17"/>
                <w:szCs w:val="17"/>
                <w:lang w:eastAsia="es-AR"/>
              </w:rPr>
              <w:br/>
              <w:t>Es una corriente doctrinaria, teoría social, económica y política basada en la obra de Karl Marx y sus seguidores, ligada a los movimientos socialistas y comunistas. La obra de Marx puede dividirse entre sus primeros escritos filosóficos, (por ejemplo, el póstumo Ökonomisch-philosophische Manuskripte aus dem Jahre 1844/Manuscritos filosóficos y económicos de 1844, Die deutsche Ideologie/La ideología alemana, 1845-1846), sus panfletos (por ejemplo, Manifest der kommunistischen Partei/Manifiesto Comunista, 1848), sus análisis de acontecimientos contemporáneos, (por ejemplo, Der Achtzehnte Brumaire des Louis Napoleon/El 18 Brumario,1852, y Der Bürgerkrieg in Frankreich/La guerra civil en Francia,1871), y los escritos fundamentales de su madurez, Zur Kritik der politischen Ökonomie (Contribución a la crítica de la Economía Política, 1859), y, sobre todo, Das Kapital (El capital, vol. 1, 1867; vols. 2 y 3 publicados póstumamente). Las ramificaciones de la doctrina marxista podemos encontrarlas en ámbitos filosóficos, económicos, históricos, políticos y de la mayoría de las ciencias sociales. Ningún otro teórico ha sido tan estudiado y tan discutido durante el siglo XX como Karl Marx. La razón de este interés está lejos de ser exclusivamente académica. Ningún otro pensador moderno ha tenido tanta influencia sobre los movimientos políticos y sociales.</w:t>
            </w:r>
            <w:r w:rsidRPr="001B7F27">
              <w:rPr>
                <w:rFonts w:ascii="Arial" w:eastAsia="Times New Roman" w:hAnsi="Arial" w:cs="Arial"/>
                <w:color w:val="003399"/>
                <w:sz w:val="17"/>
                <w:szCs w:val="17"/>
                <w:lang w:eastAsia="es-AR"/>
              </w:rPr>
              <w:br/>
              <w:t>Marx pretendía desvelar las leyes inherentes al desarrollo del capitalismo. Creía que cada época histórica se caracterizaba por un modo de producción específico que se correspondía con el sistema de poder establecido y, por lo tanto, con una clase dirigente en perenne conflicto con la clase oprimida. Así, la sociedad medieval estaba dominada por el modelo de producción feudal en el que la clase de los terratenientes obtenía una plusvalía de una población rural atada a la tierra. Las transiciones del sistema de esclavitud al feudalismo, y del feudalismo al capitalismo se produjeron cuando las fuerzas productivas (es decir, los grupos relacionados con el trabajo y los medios de producción como las máquinas) no podían seguir desarrollándose con las relaciones de producción existentes, entre las distintas clases sociales. Así, la crisis que afectó al feudalismo cuando el capitalismo necesitaba una creciente clase trabajadora conllevó la eliminación de las bases legales e ideológicas tradicionales que ataban a los siervos a la tierra.</w:t>
            </w:r>
            <w:r w:rsidRPr="001B7F27">
              <w:rPr>
                <w:rFonts w:ascii="Arial" w:eastAsia="Times New Roman" w:hAnsi="Arial" w:cs="Arial"/>
                <w:color w:val="003399"/>
                <w:sz w:val="17"/>
                <w:szCs w:val="17"/>
                <w:lang w:eastAsia="es-AR"/>
              </w:rPr>
              <w:br/>
              <w:t>La relación fundamental del capitalismo, basada en salarios, parte de un contrato entre partes jurídicamente iguales. Los propietarios del capital (capitalistas) pagan a los trabajadores (el proletariado) salarios a cambio de un número de horas de trabajo acordado. Esta relación disfraza una desigualdad real: los capitalistas se apropian de parte de lo producido por los trabajadores. Al no ser incluido en sus salarios están “engañando” a los trabajadores al apropiarse de mucho más de lo que realmente están pagando con los salarios y el resto de costos necesarios para producir. Esta apropiación, estadísticamente incuantificable, de una plusvalía, proporciona a los propietarios del capital una gran riqueza y el control sobre el desarrollo económico de la sociedad. De esta manera se están apropiando no solamente de la riqueza, sino también del poder. La compleja superestructura política, el conjunto de leyes e ideologías, regula y refuerza este tipo de relaciones sociales. En efecto, al poseer la plusvalía, los capitalistas pueden acumular riqueza y poder, determinando la dirección que seguirá la sociedad. Los bienes producidos mediante el sistema capitalista deben tener valor de uso, ya que, de no tenerlo, no se podrían encontrar compradores; pero, para el capitalista, tienen que tener valor de cambio: no se producen para el consumo del propio capitalista, sino para que éste pueda intercambiarlos por dinero. Así, la producción capitalista es esencialmente una producción dirigida al intercambio y no a la satisfacción de necesidades. La competencia hace que las empresas capitalistas ineficaces vayan a la quiebra, y se tienda a la concentración de empresas y la creación de monopolios, al tiempo que los mercados no dejan de crecer, pues las técnicas productivas y las medios de intercambio están continuamente cambiando y mejorando.</w:t>
            </w:r>
            <w:r w:rsidRPr="001B7F27">
              <w:rPr>
                <w:rFonts w:ascii="Arial" w:eastAsia="Times New Roman" w:hAnsi="Arial" w:cs="Arial"/>
                <w:color w:val="003399"/>
                <w:sz w:val="17"/>
                <w:szCs w:val="17"/>
                <w:lang w:eastAsia="es-AR"/>
              </w:rPr>
              <w:br/>
              <w:t xml:space="preserve">Las crisis son un fenómeno inherente al capitalismo. Los capitalistas intentan aumentar la intensidad de la jornada laboral y, en consecuencia, la productividad del trabajo. Por su parte, los trabajadores, si están organizados, resistirán. Los capitalistas intentarán ampliar los mercados, pero al mismo tiempo pagarán a sus trabajadores el mínimo posible. Si lo consiguen, tanto el consumo como la demanda de los trabajadores disminuirán, los mercados se reducirán y el capitalismo entrará en crisis. La compleja y a veces confusa obra de Marx, permitió que se produjeran interpretaciones dispares. Antes de 1914, la ortodoxia dominante era la promulgada por Karl Kautsky, que defendía la inevitabilidad del colapso del capitalismo. Tras la Revolución Rusa, Lenin añadió a la doctrina marxista una interpretación del imperialismo, una teoría del Estado, y los principios de la organización revolucionaria, constituyendo así la conocida doctrina marxista-leninista. El comunista italiano Antonio Gramsci subrayó el papel de la ideología en una sociedad civil para la construcción de una hegemonía política. El atractivo del marxismo se debió a que proporcionó un poderoso respaldo intelectual a la indignación moral que producían las importantes desigualdades del capitalismo, y a la esperanza de que un sistema condenado a la extinción terminaría por desaparecer. La teoría era lo suficientemente sofisticada para atraer a los intelectuales, al tiempo que podía simplificarse y difundirse entre las masas.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DERECHO DE PROPIEDAD EN LOS DOCUMENTOS PONTIFICIOS.</w:t>
            </w:r>
            <w:r w:rsidRPr="001B7F27">
              <w:rPr>
                <w:rFonts w:ascii="Arial" w:eastAsia="Times New Roman" w:hAnsi="Arial" w:cs="Arial"/>
                <w:color w:val="003399"/>
                <w:sz w:val="17"/>
                <w:szCs w:val="17"/>
                <w:lang w:eastAsia="es-AR"/>
              </w:rPr>
              <w:br/>
              <w:t xml:space="preserve">Encíclica, carta pastoral escrita por un obispo o grupo de obispos como exposición de la creencia y práctica de la doctrina cristiana. La utilización de cartas para explicar la doctrina cristiana tiene su origen en las epístolas del Nuevo Testamento. Las encíclicas más conocidas de los tiempos modernos son las emitidas por los pontífices católicos y las de los obispos anglicanos a finales de las conferencias de Lambeth celebradas cada 10 años. Según la creencia católica apostólica romana, las enseñanzas de las encíclicas tienen que ser aceptadas por los fieles pero no se consideran infalibles. Una encíclica papal empieza y termina con palabras de felicitación y bendición, y son </w:t>
            </w:r>
            <w:r w:rsidRPr="001B7F27">
              <w:rPr>
                <w:rFonts w:ascii="Arial" w:eastAsia="Times New Roman" w:hAnsi="Arial" w:cs="Arial"/>
                <w:color w:val="003399"/>
                <w:sz w:val="17"/>
                <w:szCs w:val="17"/>
                <w:lang w:eastAsia="es-AR"/>
              </w:rPr>
              <w:lastRenderedPageBreak/>
              <w:t>conocidas por su título en latín.</w:t>
            </w:r>
            <w:r w:rsidRPr="001B7F27">
              <w:rPr>
                <w:rFonts w:ascii="Arial" w:eastAsia="Times New Roman" w:hAnsi="Arial" w:cs="Arial"/>
                <w:color w:val="003399"/>
                <w:sz w:val="17"/>
                <w:szCs w:val="17"/>
                <w:lang w:eastAsia="es-AR"/>
              </w:rPr>
              <w:br/>
              <w:t>La respuesta de la Iglesia a la “cuestión social” está dada por las mencionadas Encíclicas, pero la respuesta del magisterio Eclesiástico a la cuestión social del siglo XX está dada por 5 documentos oficiales en los que se trata de dicha cuestión de una manera expresa y extensa, dentro del enfoque y perspectiva de cada uno de ellos: la Encíclica de Pablo VI POPULORUM PROGRESSIO (Desarrollo de los Pueblos) del año 1967; la de Juan Pablo II, LABOREM EXERCENS (El Trabajo Humano) del año 1981; el documento de la Comisión Pontificia Justicia y Paz, “ Al servicio de la comunidad humana: una consideración ética de la deuda internacional” publicada en diciembre de 1986, y las Encíclicas “ SOLLICITUDO REI SOCIALIS” (1987) y “CENTESIMUS ANNUS” de Juan Pablo II en la que se conmemoran los 100 años de la RERUM NOVARUM (1991).</w:t>
            </w:r>
            <w:r w:rsidRPr="001B7F27">
              <w:rPr>
                <w:rFonts w:ascii="Arial" w:eastAsia="Times New Roman" w:hAnsi="Arial" w:cs="Arial"/>
                <w:color w:val="003399"/>
                <w:sz w:val="17"/>
                <w:szCs w:val="17"/>
                <w:lang w:eastAsia="es-AR"/>
              </w:rPr>
              <w:br/>
              <w:t xml:space="preserve">Quadragéssimo Anno </w:t>
            </w:r>
            <w:r w:rsidRPr="001B7F27">
              <w:rPr>
                <w:rFonts w:ascii="Arial" w:eastAsia="Times New Roman" w:hAnsi="Arial" w:cs="Arial"/>
                <w:color w:val="003399"/>
                <w:sz w:val="17"/>
                <w:szCs w:val="17"/>
                <w:lang w:eastAsia="es-AR"/>
              </w:rPr>
              <w:br/>
              <w:t>“Primeramente, téngase por cosa cierta y averiguada que ni León XIII ni los teólogos que guiados por el magisterio de la iglesia, han negado jamás o puesto en duda el doble carácter de la propiedad individual y social, según que atienda al interés de los particulares o miren al bien común... como negado o atenuado el carácter social y público del derecho de propiedad, por necesidad se cae en el llamado individualismo, de semejante manera, rechazado o disminuido el carácter privado o individual de ese derecho se precipita uno hacia el colectivismo, o por lo menos se tocan sus postulados.”2</w:t>
            </w:r>
            <w:r w:rsidRPr="001B7F27">
              <w:rPr>
                <w:rFonts w:ascii="Arial" w:eastAsia="Times New Roman" w:hAnsi="Arial" w:cs="Arial"/>
                <w:color w:val="003399"/>
                <w:sz w:val="17"/>
                <w:szCs w:val="17"/>
                <w:lang w:eastAsia="es-AR"/>
              </w:rPr>
              <w:br/>
              <w:t xml:space="preserve">Para comprender mejor la idea de la Encíclica, conviene distinguir entre derecho de propiedad y su uso; la propiedad privada es una institución conforme a la naturaleza y como tal inviolable; su garantía ha de ser tan intensa que, con las palabras de la Encíclica, “ Se engañan o yerran los que pretenden reducir el carácter individual del dominio hasta el punto de abolirlo en la práctica... y más lejos aun está de la verdad el decir que por el abuso o el simple no uso de las cosas, perece o se pierde el derecho de propiedad.” </w:t>
            </w:r>
            <w:r w:rsidRPr="001B7F27">
              <w:rPr>
                <w:rFonts w:ascii="Arial" w:eastAsia="Times New Roman" w:hAnsi="Arial" w:cs="Arial"/>
                <w:color w:val="003399"/>
                <w:sz w:val="17"/>
                <w:szCs w:val="17"/>
                <w:lang w:eastAsia="es-AR"/>
              </w:rPr>
              <w:br/>
              <w:t xml:space="preserve">Rerum Novarum </w:t>
            </w:r>
            <w:r w:rsidRPr="001B7F27">
              <w:rPr>
                <w:rFonts w:ascii="Arial" w:eastAsia="Times New Roman" w:hAnsi="Arial" w:cs="Arial"/>
                <w:color w:val="003399"/>
                <w:sz w:val="17"/>
                <w:szCs w:val="17"/>
                <w:lang w:eastAsia="es-AR"/>
              </w:rPr>
              <w:br/>
              <w:t>La Encíclica Rerum Novarum es una carta encíclica del Sumo Pontífice León XIII sobre la situación de los obreros en el mundo, ésta carta no solamente defiende el derecho de propiedad privada, lo que la acercaría al liberalismo; afirma además las obligaciones inherentes a la condición de propietario. En este punto, en cambio, se aparta del liberalismo, que defiende el derecho ilimitado del propietario a disponer de sus bienes. El hombre, dice la Encíclica, no debe usar las cosas externas como propias, sino como comunes, y tiene estar dispuesto a dar a los necesitados. “Nadie debe vivir de una manera inconveniente. Pero cuando se ha atendido suficientemente a la necesidad y al decoro, es un deber socorrer a los indigentes con lo que sobra”. Párrafo 16.</w:t>
            </w:r>
            <w:r w:rsidRPr="001B7F27">
              <w:rPr>
                <w:rFonts w:ascii="Arial" w:eastAsia="Times New Roman" w:hAnsi="Arial" w:cs="Arial"/>
                <w:color w:val="003399"/>
                <w:sz w:val="17"/>
                <w:szCs w:val="17"/>
                <w:lang w:eastAsia="es-AR"/>
              </w:rPr>
              <w:br/>
              <w:t>LA DOCTRINA DE LA IGLESIA SOBRE LOS BIENES TEMPORALES (pl6).</w:t>
            </w:r>
            <w:r w:rsidRPr="001B7F27">
              <w:rPr>
                <w:rFonts w:ascii="Arial" w:eastAsia="Times New Roman" w:hAnsi="Arial" w:cs="Arial"/>
                <w:color w:val="003399"/>
                <w:sz w:val="17"/>
                <w:szCs w:val="17"/>
                <w:lang w:eastAsia="es-AR"/>
              </w:rPr>
              <w:br/>
              <w:t>Así, pues, quedan avisados los ricos de que las riquezas no aportan consigo la exención del dolor, ni aprovechan nada para la felicidad eterna, sino más bien la obstaculizan(7); de que deben imponer temor a los ricos las tremendas amenazas de Jesucristo(8) y de que pronto o tarde se habrá de dar cuenta severísima al divino Juez del uso de las riquezas.</w:t>
            </w:r>
            <w:r w:rsidRPr="001B7F27">
              <w:rPr>
                <w:rFonts w:ascii="Arial" w:eastAsia="Times New Roman" w:hAnsi="Arial" w:cs="Arial"/>
                <w:color w:val="003399"/>
                <w:sz w:val="17"/>
                <w:szCs w:val="17"/>
                <w:lang w:eastAsia="es-AR"/>
              </w:rPr>
              <w:br/>
              <w:t>Sobre el uso de las riquezas hay una doctrina excelente y de gran importancia, que, si bien fue iniciada por la filosofía, la Iglesia la ha enseñado también perfeccionada por completo y ha hecho que no se quede en puro conocimiento, sino que informe de hecho las costumbres. El fundamento de dicha doctrina consiste en distinguir entre la recta posesión del dinero y el recto uso del mismo. Poseer bienes en privado, según hemos dicho poco antes, es derecho natural del hombre; y usar de este derecho sobre todo en la sociedad de la vida, no sólo es lícito, sino incluso necesario en absoluto. "Es lícito que el hombre posea cosas propias. Y es necesario también para la vida humana"(9). Y si se pregunta cuál es necesario que sea el uso de los bienes. La Iglesia responderá sin vacilación alguna: En cuanto a esto, el hombre no debe considerar las cosas externas como propias, sino como comunes, es decir, de modo que las comparta fácilmente con otros en sus necesidades. De donde el Apóstol dice: "Manda a los ricos de este siglo... que den, que compartan con facilidad"(l0).</w:t>
            </w:r>
            <w:r w:rsidRPr="001B7F27">
              <w:rPr>
                <w:rFonts w:ascii="Arial" w:eastAsia="Times New Roman" w:hAnsi="Arial" w:cs="Arial"/>
                <w:color w:val="003399"/>
                <w:sz w:val="17"/>
                <w:szCs w:val="17"/>
                <w:lang w:eastAsia="es-AR"/>
              </w:rPr>
              <w:br/>
              <w:t xml:space="preserve">Aunque el enfoque y las expresiones limosnas, etc. no nos gusten hoy, hay aquí una clara limitación del derecho de propiedad en cuanto a su ejercicio, pues, según la más antigua tradición de la Iglesia, el hombre es sólo administrador de los bienes que Dios ha puesto en sus manos. </w:t>
            </w:r>
            <w:r w:rsidRPr="001B7F27">
              <w:rPr>
                <w:rFonts w:ascii="Arial" w:eastAsia="Times New Roman" w:hAnsi="Arial" w:cs="Arial"/>
                <w:color w:val="003399"/>
                <w:sz w:val="17"/>
                <w:szCs w:val="17"/>
                <w:lang w:eastAsia="es-AR"/>
              </w:rPr>
              <w:br/>
              <w:t>Laborem Exercens</w:t>
            </w:r>
            <w:r w:rsidRPr="001B7F27">
              <w:rPr>
                <w:rFonts w:ascii="Arial" w:eastAsia="Times New Roman" w:hAnsi="Arial" w:cs="Arial"/>
                <w:color w:val="003399"/>
                <w:sz w:val="17"/>
                <w:szCs w:val="17"/>
                <w:lang w:eastAsia="es-AR"/>
              </w:rPr>
              <w:br/>
              <w:t xml:space="preserve">En esta Encíclica hay una clara afirmación de la prioridad de la persona humana sobre cualquier interés económico. La doctrina sobre la propiedad queda matizada y, hasta cierto punto, corregida por Juan Pablo II; lo decisivo no es que la propiedad sea privada o pública, sino que esté al servicio del hombre. Párrafo 14. </w:t>
            </w:r>
            <w:r w:rsidRPr="001B7F27">
              <w:rPr>
                <w:rFonts w:ascii="Arial" w:eastAsia="Times New Roman" w:hAnsi="Arial" w:cs="Arial"/>
                <w:color w:val="003399"/>
                <w:sz w:val="17"/>
                <w:szCs w:val="17"/>
                <w:lang w:eastAsia="es-AR"/>
              </w:rPr>
              <w:br/>
              <w:t>Su objetivo último consiste en mostrar la vía por la que hay que buscar la superación de su radio de insuficiencia: la efectiva participación del trabajador en la actividad productiva, en cuanto ser humano, y no solamente como fuerza de producción.</w:t>
            </w:r>
            <w:r w:rsidRPr="001B7F27">
              <w:rPr>
                <w:rFonts w:ascii="Arial" w:eastAsia="Times New Roman" w:hAnsi="Arial" w:cs="Arial"/>
                <w:color w:val="003399"/>
                <w:sz w:val="17"/>
                <w:szCs w:val="17"/>
                <w:lang w:eastAsia="es-AR"/>
              </w:rPr>
              <w:br/>
              <w:t>Populorum Progressio</w:t>
            </w:r>
            <w:r w:rsidRPr="001B7F27">
              <w:rPr>
                <w:rFonts w:ascii="Arial" w:eastAsia="Times New Roman" w:hAnsi="Arial" w:cs="Arial"/>
                <w:color w:val="003399"/>
                <w:sz w:val="17"/>
                <w:szCs w:val="17"/>
                <w:lang w:eastAsia="es-AR"/>
              </w:rPr>
              <w:br/>
              <w:t xml:space="preserve">Por la función social que la iglesia atribuye a este derecho, señala que los bienes no deben mantenerse improductivos e incluso en la Encíclica Populorum Progressio, reconoce el derecho de expropiar una cosa deficientemente explotada. </w:t>
            </w:r>
            <w:r w:rsidRPr="001B7F27">
              <w:rPr>
                <w:rFonts w:ascii="Arial" w:eastAsia="Times New Roman" w:hAnsi="Arial" w:cs="Arial"/>
                <w:color w:val="003399"/>
                <w:sz w:val="17"/>
                <w:szCs w:val="17"/>
                <w:lang w:eastAsia="es-AR"/>
              </w:rPr>
              <w:br/>
              <w:t xml:space="preserve">La iglesia considera al Derecho de Propiedad como un derecho natural, pero advierte que todo exceso debe repartirse entre quienes lo necesitan: “Si alguno tiene bienes de este mundo y, viendo a su hermano en necesidad, le cierra sus entrañas, ¿cómo es posible que resida en él el amor de Dios?. Sabido es con qué firmeza los Padres de la Iglesia han precisado cuál debe ser la actitud de los que poseen respecto a los que encuentran en necesidad: "No es parte de tus bienes - así dice San Ambrosio - lo que tú des al pobre; lo que le das le pertenece. Porque lo que ha sido dado para el uso de todos, tú te lo apropias. La tierra ha sido dada para todo el mundo y no solamente para los ricos". Es decir, que la propiedad privada no constituye para nadie un derecho incondicional y absoluto. No hay ninguna razón para reservarse en uso exclusivo lo que supera a la propia necesidad cuando a los demás les falta lo </w:t>
            </w:r>
            <w:r w:rsidRPr="001B7F27">
              <w:rPr>
                <w:rFonts w:ascii="Arial" w:eastAsia="Times New Roman" w:hAnsi="Arial" w:cs="Arial"/>
                <w:color w:val="003399"/>
                <w:sz w:val="17"/>
                <w:szCs w:val="17"/>
                <w:lang w:eastAsia="es-AR"/>
              </w:rPr>
              <w:lastRenderedPageBreak/>
              <w:t>necesario. En una palabra: "el derecho de propiedad no debe jamás ejercitarse con detrimento de la utilidad común, según la doctrina tradicional de los Padres de a Iglesia y de los grandes teólogos". Si se llegase al conflicto "entre los derechos privados adquiridos y las exigencias comunitarias primordiales", toca a los poderes públicos "procurar una solución con la activa participación de las personas y de los grupos sociales". # 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t>BORDA, Guillermo A.. Tratado de Derecho Civil. 8va. Edición. Editorial Emilio Perrot. Bs. As. 1984</w:t>
            </w:r>
            <w:r w:rsidRPr="001B7F27">
              <w:rPr>
                <w:rFonts w:ascii="Arial" w:eastAsia="Times New Roman" w:hAnsi="Arial" w:cs="Arial"/>
                <w:color w:val="003399"/>
                <w:sz w:val="17"/>
                <w:szCs w:val="17"/>
                <w:lang w:eastAsia="es-AR"/>
              </w:rPr>
              <w:br/>
              <w:t>CAMACHO, Ildefonso. Creyentes en la Vida Pública.</w:t>
            </w:r>
            <w:r w:rsidRPr="001B7F27">
              <w:rPr>
                <w:rFonts w:ascii="Arial" w:eastAsia="Times New Roman" w:hAnsi="Arial" w:cs="Arial"/>
                <w:color w:val="003399"/>
                <w:sz w:val="17"/>
                <w:szCs w:val="17"/>
                <w:lang w:eastAsia="es-AR"/>
              </w:rPr>
              <w:br/>
              <w:t>Editorial Manuel Tejera, Superior Provincial. Sevilla 1994.</w:t>
            </w:r>
            <w:r w:rsidRPr="001B7F27">
              <w:rPr>
                <w:rFonts w:ascii="Arial" w:eastAsia="Times New Roman" w:hAnsi="Arial" w:cs="Arial"/>
                <w:color w:val="003399"/>
                <w:sz w:val="17"/>
                <w:szCs w:val="17"/>
                <w:lang w:eastAsia="es-AR"/>
              </w:rPr>
              <w:br/>
              <w:t>Código Civil Paraguayo.</w:t>
            </w:r>
            <w:r w:rsidRPr="001B7F27">
              <w:rPr>
                <w:rFonts w:ascii="Arial" w:eastAsia="Times New Roman" w:hAnsi="Arial" w:cs="Arial"/>
                <w:color w:val="003399"/>
                <w:sz w:val="17"/>
                <w:szCs w:val="17"/>
                <w:lang w:eastAsia="es-AR"/>
              </w:rPr>
              <w:br/>
              <w:t>Constitución Nacional.</w:t>
            </w:r>
          </w:p>
          <w:p w:rsidR="001B7F27" w:rsidRPr="001B7F27" w:rsidRDefault="001B7F27" w:rsidP="001B7F27">
            <w:pPr>
              <w:spacing w:after="0"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Enciclopedia Microsoft® Encarta® 98 © 1993-1997 Microsoft Corporation.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2"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5" w:name="15"/>
            <w:bookmarkEnd w:id="15"/>
            <w:r w:rsidRPr="001B7F27">
              <w:rPr>
                <w:rFonts w:ascii="Arial" w:eastAsia="Times New Roman" w:hAnsi="Arial" w:cs="Arial"/>
                <w:b/>
                <w:bCs/>
                <w:color w:val="009933"/>
                <w:sz w:val="20"/>
                <w:szCs w:val="20"/>
                <w:lang w:eastAsia="es-AR"/>
              </w:rPr>
              <w:t>"El Garantismo en la Constitución “Formal” y “Material” del Paraguay: Conquistas, Déficits y Efectos no queridos"</w:t>
            </w:r>
            <w:r w:rsidRPr="001B7F27">
              <w:rPr>
                <w:rFonts w:ascii="Arial" w:eastAsia="Times New Roman" w:hAnsi="Arial" w:cs="Arial"/>
                <w:color w:val="003399"/>
                <w:sz w:val="17"/>
                <w:szCs w:val="17"/>
                <w:lang w:eastAsia="es-AR"/>
              </w:rPr>
              <w:br/>
              <w:t>Jorge Seall-Sasiain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Constitucional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3"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SUMARIO: 1.- Introducción y aclaraciones previas. 2.- Las garantías en las constituciones anteriores. 3.- El garantismo de la Constitución de 1992. 4.- El debido proceso y la prisión preventiva en la Constitución de 1992. 5.- ¿Exceso garantista en el Estado de Excepción (Art. 288)? 6.- ¿El garantismo causa la inseguridad ciudadana y la ineficaz lucha contra la corrupción? 7.- A modo de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Introducción y aclaraciones previas.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diez años de la Constitución de la República del Paraguay de 1992, se impone su evaluación. En este trabajo, aclaramos, nos limitaremos a evaluar someramente las luces y las sombras, los logros y las carencias de sus cláusulas garantistas, así como el cumplimiento, la aplicación selectiva de facto, y el franco incumplimiento de muchas de ellas.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Constitución vigente es --sin lugar a dudas-- la más democrática de nuestra historia, así como la adoptada del modo más participativo. Sin embargo, debemos señalar la limitación que supone el hecho de que los constituyentes hayan sido elegidos por un pueblo mayoritariamente carente de “cultura política democrática”, en el que predominan el conservadurismo, el paternalismo, el autoritarismo y el prebendarismo, antes que una ideología medianamente democrática, progresista, con un mínimo sentido de responsabilidad (tanto del funcionario como del ciudadano) en una Res Publicae. Si bien lo anterior se da en muchos pueblos, especialmente en América Latina, el caso paraguayo es particularmente grave; se trata de un país mediterráneo, rural, atrasado, con una muy desigual distribución del </w:t>
            </w:r>
            <w:r w:rsidRPr="001B7F27">
              <w:rPr>
                <w:rFonts w:ascii="Arial" w:eastAsia="Times New Roman" w:hAnsi="Arial" w:cs="Arial"/>
                <w:color w:val="003399"/>
                <w:sz w:val="17"/>
                <w:szCs w:val="17"/>
                <w:lang w:eastAsia="es-AR"/>
              </w:rPr>
              <w:lastRenderedPageBreak/>
              <w:t>ingreso --especialmente de la tierra--, que aun lleva la impronta que dejó una férrea dictadura de más de treinta años, apoyada por un virtual “partido único” (Partido Colorado) que desde 1947 hasta 1989 integró una trilogía con las Fuerzas Armadas y con el Gobierno.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trabajo analizaremos el “garantismo” en la “constitución formal” y en la “material”. El “garantismo” es el movimiento o escuela del derecho constitucional, penal y procesal penal que brega por asegurar la más amplia y efectiva observancia de toda norma, derecho, exención, garantía o principio en defensa de la persona y de su dignidad frente al Estado y frente a terceros, en todos sus posibles roles: como ciudadano, administrado, arrestado, detenido, sumariado, imputado, procesado, acusado, condenado, etc.1 Respecto de la relación entre derechos y garantías, Bidart Campos apunta que “un derecho sin su correlativa garantía es un derecho 'inexistente' o un derecho inocuo (...) lo que de rescatable tienen estos enfoques radica en poner de relieve que para la efectividad de los derechos –o sea, para contar con la posibilidad de su vigencia sociológica en supuestos de desconocimiento, negación o violación-- hace falta el instrumental de la correspondiente garantía que permita hacerlo valer.”2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teoría constitucional acuñó los conceptos de “constitución formal” y “constitución material” para distinguir dos planos del orden constitucional. El plano “formal” o jurídico es aprehensible con la lectura, estudio e interpretación de las normas supremas vigentes, conforme surge del propio texto constitucional; en cambio, el plano “material” real, o sociológico -- inasible con la simple lectura de las normas-- supone auscultar la realidad político-social y verificar el grado de efectiva vigencia del orden constitucional en la praxis política, judicial, profesional y ciudadana; implica una medición de la realidad socio-política para constatar el grado de observancia real de la Constitución. Aunque no se trata exactamente de la misma clasificación, vale la pena traer a colación la clásica distinción de Lasalle entre la constitución “hoja de papel” o mera “expresión escrita” y la constitución basada en los “factores reales de poder” que son la “fuerza activa y eficaz que informa todas las leyes e instituciones jurídicas de la sociedad”.3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Las garantías en las constituciones anteriores.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Paraguay, el garantismo adquiere con la Constitución actual su más amplia y mejor consagración. No se inició, si embargo, con ella. La Constitución de 1870 contenía –casi literalmente-- las mismas garantías (del Art. 18) de su modelo, la Constitución de la Nación Argentina de 1853/60, tales como, el “juicio previo fundado en ley anterior al hecho”, el “juez natural”, la “prohibición de obligar a declarar contra sí mismo”, con el agregado –garantista-- de que nadie puede ser “... detenido más de veinte y cuatro horas sin comunicársele su delito, y no puede ser detenido sino en su casa o lugares públicos destinados a este objeto. La ley reputa inocentes a los que aún no han sido declarado culpables o legalmente sospechosos de serlo, por auto motivado de Juez competente ”(Art. 20). El Art. 21 consagraba la “inviolabilidad de la defensa, del domicilio y de los papeles privados” y “abolía los tormentos y azotes”, el Art. 22 prevenía contra las “fianzas excesivas y multas desmedidas” y el Art. 32 establecía “ninguna ley tendrá efecto retroactivo”.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Constitución de 1940 mantuvo –básicamente– las mismas garantías consagradas en la anterior, mencionando, además, el “recurso de habeas corpus” y que el “crimen o deshonra” en que incurran las personas no afecta a sus parientes o principio de intrascendencia de la pena. (Art. 26).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Constitución de 1967 consagró un importante principio garantista –que lamentablemente no se mantuvo en la Constitución vigente--: “Los principios, garantías, derechos y obligaciones consagrados en esta Constitución, no pueden ser alterados por las leyes que reglamentan su ejercicio...” (Art. 11). También aparecen el derecho al “libre desenvolvimiento de la personalidad” (Art. 48), así como el derecho de toda persona a ser “protegida por el Estado en su vida, su integridad física, su libertad, su seguridad, su propiedad, su honor y su reputación” (Art. 50). Es la primera Constitución paraguaya en que se consagra expresamente el derecho a la vida. Sin embargo, el Art. 50 padece de una deficiente técnica, al limitar la protección a la integridad “física”, como si la moral y la psíquica no importaran igualmente; además, engloba –supuestamente con la misma intensidad de protección-- conceptos de muy diverso contenido y entidad axiológica como la vida, la integridad física, la libertad, la seguridad, la propiedad, el honor y la reputación. Con respecto a la detención de las personas, se cambió la redacción de la Constitución de 1940 y se extendió el plazo --a favor de la autoridad!—al establecerse que “...No se podrá detener a persona alguna por más de veinticuatro horas sin comunicársele la causa de su detención (...) La detención será puesta en conocimiento del Juez competente dentro de las cuarenta y ocho horas. Si hubiere incomunicación del detenido, ella en ningún caso podrá prolongarse por más de este plazo, excepto si mediare orden judicial.”(Art. 59). Sin embargo, constituyó un avance –aunque sólo en la Constitución “formal”-- la consagración de la siguiente garantía procesal: “En la investigación de los hechos punibles, el indiciado tendrá acceso a los recaudos sumariales y a todos los medios de defensa que provea la ley. El sumario no es secreto, no podrá prolongarse por más tiempo que el legalmente fijado” (Art. 60). La eximición de la obligación de declarar contra sí mismo se extendió al cónyuge, a los parientes dentro del cuarto grado de consanguinidad o de segundo de afinidad, y –lo más importante-- se previno contra las “confesiones” arrancadas bajo tortura, al disponerse: “...Actos de esta naturaleza anulan la declaración y hacen responsables ante la ley a quienes los hubieren ordenado o ejecutado”(Art. 62). No obstante, esta norma fue una insultante ironía del “garantismo” formal o jurídico frente a la abominable práctica “institucionalizada y rutinaria” de torturar presos políticos y comunes para arrancar confesiones en las dependencias policiales de la dictadura del Gral. Stroessner.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r>
            <w:r w:rsidRPr="001B7F27">
              <w:rPr>
                <w:rFonts w:ascii="Arial" w:eastAsia="Times New Roman" w:hAnsi="Arial" w:cs="Arial"/>
                <w:color w:val="003399"/>
                <w:sz w:val="17"/>
                <w:szCs w:val="17"/>
                <w:lang w:eastAsia="es-AR"/>
              </w:rPr>
              <w:br/>
              <w:t xml:space="preserve">3. El garantismo de la Constitución de 1992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Carta Magna de 1992 preludia su garantismo al afirmar en el preámbulo el “reconocimiento de la dignidad humana” y disponer en el Art. 1° que el Paraguay “se constituye en Estado social de derecho (...)”, adoptando para su gobierno “la democracia representativa, participativa y pluralista, fundada en el reconocimiento de la dignidad humana”. El énfasis en la dignidad humana es muy encomiable, así como la expresa consagración Estado de Derecho, concretamente del “Estado Social de Derecho” (Herman Heller) o “Estado Democrático de Derecho” (Elías Díaz). En este punto es innegable la fuente alemana, ya que para el Tribunal Constitucional Federal alemán, la democracia es un orden político fundado en la dignidad de la persona; en tal sentido, ha defendido una visión axiológica de la Constitución, tal como lo expresó en el caso Luth (1958): los derechos fundamentales contienen “un orden objetivo de valores” que se realiza en la vida política, es decir, contienen no sólo derechos subjetivos sino principios objetivos del ordenamiento jurídico que se aplican en todos los ámbitos del Derecho y por ende irradian las relaciones privadas.4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Art. 4° consagró el “derecho a la vida” y “su protección, en general, desde la concepción”, aboliendo la pena de muerte. Esta redacción, que suscitó una injustificada polémica en el sentido de que “legalizaría el aborto”, coincide –rigurosamente-- con el Art. 4° de la Convención Americana sobre Derechos Humanos (Pacto de San José), al que nadie hasta ahora ha atribuido la “constitucionalización” del aborto. De modo similar a la Constitución anterior, en el mismo artículo, que lleva el epígrafe “Del derecho a la vida”, se abarcan diversos bienes jurídicos: “Toda persona será protegida por el Estado en su integridad física y psíquica, así como en su honor y en su reputación.” Así como no compartimos el criterio de englobar en la misma disposición sobre el derecho a la vida, los derechos a la integridad personal, al honor y a la reputación, no encontramos razón bastante para que se hayan mantenido sólo la “integridad, el honor y la reputación” (que tienen su protección especial en otros Arts. 5°, 9°, 23, 25 y 33), eliminándose “la libertad, la seguridad y la propiedad”. Creemos que hubiera sido preferible mantener un orden y una consistencia temáticos en los artículos, máxime cuando se utilizaron epígrafes en cada uno de ellos, para minimizar las reiteraciones u omisiones involuntarias.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5° tiene el poco feliz título --para un capítulo de derechos individuales y fundamentales-- “De la tortura y de otros delitos”. Aparte de reiterar la prohibición similar de anteriores Constituciones y de tratados de derechos humanos contra la tortura, penas o tratos crueles, inhumanos o degradantes, contiene un avance garantista al disponer que el “genocidio y la tortura, así como la desaparición forzosa de personas, el secuestro y el homicidio por razones políticas son imprescriptibles”. No podemos, sin embargo, dejar de apuntar un par de deficiencias. En efecto, la redacción de este párrafo es imprecisa: ¿lo de “por razones políticas” califica sólo a “el homicidio”, a “secuestro y homicidio”, a “desaparición forzosa de personas, secuestro y homicidio” o a “el genocidio, la tortura, la desaparición forzosa de personas, el secuestro y el homicidio”. A propósito: ¿por qué no deberían ser imprescriptibles la “desaparición forzosa de personas” así como “el secuestro y el homicidio”, aunque estos delitos no tengan causas políticas? Por otra parte, en 1992, cuando se reunió la Convención Nacional Constituyente, la doctrina y el derecho internacional de los derechos humanos ya habían establecido que los delitos de lesa humanidad no sólo son imprescriptibles, sino también inexcarcelables, inindultables, inamnistiables y siempre extraditables. El proyecto de la Subcomisión de la Comisión Redactora de la Convención preveía que dichos delitos así como sus conexos, “no son prescriptibles, ni amnistiables. Sus ejecutores, mandantes y quienes pudiendo evitarlo o denunciarlo, omitieron hacerlo, no serán indultables, ni beneficiables con la libertad provisional”. En la Comisión Redactora el proyecto difirió ligeramente, al declararlos sólo “imprescriptibles, no amnistiables ni indultables”. En la plenaria, tres convencionales presentaron una propuesta (N° 5) que incluyó los importantes caracteres de “delitos imprescriptibles, no amnistiables, no indultables, ni excarcelables y los responsables no podrán acogerse a los beneficios de la libertad condicional”. Otras propuestas en plenaria sólo hablaban de la imprescriptibilidad. Lamentablemente, la mayoría aprobó esta última versión, muy limitada.5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Art. 11 y --más acabadamente-- el Art. 12 se refieren a la privación de la libertad, la detención y el arresto. El Art. 12 es todo un hito en el garantismo: aparte de exigir la orden escrita de autoridad competente, salvo flagrancia en la comisión de delito, establece que todo detenido o arrestado tiene derecho 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se le informe, en el momento del hecho, de la causa de su detención o arresto, de su derecho a guardar silencio --los “Miranda rights” de los estadounidenses-- y a ser asistido por un defensor de su confianza, debiendo la autoridad exhibir dicha orden escrita. En nuestra opinión, este importante inciso –que contiene por lo menos cuatro diferentes normas– tendría que haber tenido subincisos para destacar las nuevas garantías específicas y brindar así mayor seguridad en cuanto a su observancia por parte de las autoridades y a su conocimiento por parte de los ciudadanos;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la detención se comunique inmediatamente a familiares o personas indicadas por el detenido;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libre comunicación, siendo ésta la regla y la incomunicación la excepción, debiendo disponerla solo el Juez sin exceder el término legal y nunca rige respecto al defensor;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a un intérprete, eventualmente; 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ser puesto a disposición del magistrado judicial competente dentro de 24 horas.6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Art. 13 consagra la no privación de libertad por deudas, ya prevista en la Constitución de 1967 (Art. 64), salvo los mandatos judiciales en “cumplimiento de deberes alimentarios –como el Art. 7.7 del Pacto de San José-- o como “sustitución de multas o fianzas judiciales”. Si bien compartimos el fin ejemplificador de la excepción, en los países latinoamericanos, donde abunda la paternidad irresponsable, la norma constitucional podría ser negada si no se ponderan debidamente las circunstancias del caso, pues podría haber una aplicación discriminatoria –no querida por los constituyentes-- contra los no pudientes; en tal caso, se terminaría “encarcelando por deudas” sólo a quienes carecen de ingresos o bienes para cumplir un deber alimentario. De la misma crítica es pasible la excepción con respecto a las multas o a las fianzas judiciales: en desmedro de la igualdad, ella podría privilegiar a los adinerados, al exonerarlos de la pena corporal.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14. consagró –como el Art. 67 de la anterior Constitución-- la irretroactividad de la ley “salvo que sea más favorable al encausado o al condenado”. Independientemente de la conquista garantista que significa la constitucionalización del principio penal “pro reo” [no debería ser “in dubio pro reo”], nos preguntamos si involuntariamente no fue cercenada la retroactividad para casos análogos en materia laboral (pro operario), tributaria (pro contribuyente), administrativa (pro sumariado), de seguridad social (pro jubilado y pensionado) y en otras que podrían merecer idéntico tratamiento; así como para los casos en que la nueva ley no perjudica sino que beneficia a las personas, siempre que no se alteraren “derechos perfeccionados y ejercidos” ni se modificasen “obligaciones no pendientes y ya cumplidas”.7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16 --en un incompleto epígrafe-- “De la defensa en juicio” declara inviolable la defensa en juicio de las personas y sus derechos, principio ya vigente en las anteriores Constituciones. Creemos que el título debería haber agregado “... y de los jueces competentes, independientes e imparciales” o, en su caso, dedicarle a ello un artículo aparte, pues la segunda oración de este artículo consagra también las garantías de “imparcialidad, independencia y competencia” de los tribunales y jueces que han de juzgar a las personas; es decir, no sólo se prevé la garantía del “juez natural”, sino también la de que los “tribunales y jueces” sean “competentes, independientes e imparciales”.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Arts. 17 y 19 son tratados en el numeral siguiente.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igual que el Art. 62 de la Constitución de 1967, el Art. 18 dispone que nadie puede ser obligado a declarar contra sí mismo, contra su cónyuge ni contra sus parientes dentro del cuarto grado de consanguinidad o segundo de afinidad, pero amplía el círculo al incluir a la persona con quien se está unido de hecho. El párrafo siguiente agrega el principio de “no trascendencia de la pena” a los parientes o allegados. Este artículo plantea dos problemas: 1) ¿se limita su aplicación al ámbito penal, como parece sugerir este segundo párrafo, o rige para todo proceso? ; 2) ¿debe interpretarse restringidamente el concepto de “declaración” o cabe extenderlo a otras “pruebas no espontáneamente producidas por el acusado y que pueden incriminarlo”, desde la toma compulsiva de muestra de sangre u otros exámenes compulsivos hasta la obligación de redactar un cuerpo de escritura o realizar una diligencia con fines probatorios? Con respecto a lo primero, creemos que el principio debe extenderse a todos los ámbitos, sean judiciales o extrajudiciales. En América Latina no existe la tradición de invocarlo, como bien corresponde, cuando, por ejemplo, un particular comparece ante una Comisión Conjunta de Investigación del Congreso (Art. 195 de la Constitución), al modo que los estadunidenses invocan la Quinta Enmienda – “to pledge the Fifth Amendment”-- que prevé el “privilegio de la no auto-incriminación”. Lo llamativo es que nuestros Códigos Procesal Laboral y Procesal Civil –que datan de 1961 y 1988, respectivamente-- siguen contemplando la inquisitorial prueba de “absolución de posiciones”, pese a que las constituciones de 1870:Art. 20, de 1940:Art. 26, y de 1967:Art. 62, ya consagraba el mismo principio de que nadie está obligado a declarar contra sí mismo. Hace muy poco tiempo se alegó la inconstitucionalidad de esa prueba, sin que aun la Sala Constitucional haya dictado sentencia. En los tribunales de nuestro país se siguen “absolviendo posiciones” en lo civil, comercial, laboral, contencioso-administrativo, etc., ratificándose la distancia entre constitución “formal” y “material”.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El debido proceso y la prisión preventiva en la Constitución de 1992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“epítome del garantismo” de la Constitución de 1992 es el Art. 17: “De los derechos procesales” con sus once incisos. Resulta encomiable la pretensión de que su texto se aplique extensivamente, cuando en la frase inicial se consagra que “En el proceso penal, o en cualquier otro del cual pudiera derivarse pena o sanción, toda persona tiene derecho a:(...)”. Huelgan los comentarios sobre el mayor garantismo, en los procesos penales o naturaleza similar, que dicha redacción implica, independientemente de que se debata qué constituye una “pena o sanción”. En el Art. 17 se contemplan especificidades propias o únicas al proceso penal, inter alia, “el no juzgamiento más de una vez por el mismo hecho”, “la defensa en causa propia o por un defensor de su elección”, “la de un defensor gratuito proveído por el Estado”, “el acceso a copias, medios y plazos indispensables para la defensa”, y “la indemnización por el Estado en caso de condena por error judicial”. Es indudable que esta norma garantista rige en los procesos en sede militar, policial, administrativa, por “faltas municipales” y otros, pero no tanto que sea aplicable a procedimientos especiales como el “desafuero”, la “destitución” de intendentes y gobernadores por la Cámara de </w:t>
            </w:r>
            <w:r w:rsidRPr="001B7F27">
              <w:rPr>
                <w:rFonts w:ascii="Arial" w:eastAsia="Times New Roman" w:hAnsi="Arial" w:cs="Arial"/>
                <w:color w:val="003399"/>
                <w:sz w:val="17"/>
                <w:szCs w:val="17"/>
                <w:lang w:eastAsia="es-AR"/>
              </w:rPr>
              <w:lastRenderedPageBreak/>
              <w:t>Diputados (Art. 165), el “juicio político” o la “rendición de cuentas” que debe prestar ante el Tribunal de Cuentas quien administra fondos públicos. Hay quienes discuten hasta qué punto son igualmente aplicables todos los incisos en los “sumarios internos” del sector privado, por ejemplo, para la aplicación de sanciones previstas en reglamentos de empresas, de institutos privados de enseñanza, de universidades privadas, etc. Por otra parte --y a riesgo de llegar a extremos absurdos-- no todo lo que se denomine “sanción o pena” debe estar amparado por este artículo, sólo porque se lo llame así o se lo pueda caracterizar de algún modo como sanción. En efecto, deberían quedar al margen las sanciones menores de índole “disciplinaria”, como la expulsión del alumno del aula por reiterada inconducta o el arresto disciplinario por determinadas horas en los cuarteles militares y policiales. Hay que fijar muy cuidadosamente los límites entre las sanciones disciplinaria y penal: el Código Penal Militar Paraguayo, por ejemplo, encierra medidas “disciplinarias” que por su gravedad y la absoluta falta de debido proceso son claramente inconstitucionales8.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inciso 1) del Art. 17, que consagra la “presunción de inocencia”, originó una “revolución copernicana” en los procesos penales y fue una de las bases para la profunda reforma de los códigos Penal y Procesal Penal. Lo que ocurrió, en realidad, fue que por primera vez pasó a integrar la constitución “material”, pues las anteriores constituciones “formales” ya contemplaban el principio de la presunción de inocencia; en el Art. 20 de la de 1870, en el Art. 26 de la de 1940 y en el Art. 63 de la de 1967. No hallamos una justificación cabal del retardo --de más de un siglo-- que tuvo la vigencia real de una norma de indudable naturaleza operativa; será quizá que esta vez, habiendo salido de una larga dictadura, se intentó materializar y profundizar el garantismo en la “transición a la democracia” –por cierto, interminable y muy accidentada-- que mentamos en Paraguay desde 1989.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Recién en 1995 la nueva Corte Suprema de Justicia declaró inconstitucional, con efecto “inter-partes” --cuestionable pero constitucionalmente obligatorio--, el Art. 16 del Código Penal desde 1914, entonces vigente, que reputaba cometida con “intención criminal” toda acción u omisión penada por la ley, salvo que resultare una presunción contraria; también puso en entredicho la arraigada doctrina y jurisprudencia nacionales de que en el inquisitorial estado sumario, “los indicios o presunciones se interpretaban en contra del procesado”; la máxima instancia judicial señaló, además, que “frases hechas administrativas”, como “irregularidades” o “indicios de culpabilidad”- no presuponen culpabilidad y que se extrapolan al proceso penal sin indicar en qué consisten, no siendo posible desnaturalizar una operación civil o comercial transformando su incumplimiento en delito penal”; ello “viola la presunción de inocencia contemplada en el Art. 17 inc. 1° de la Constitución”9.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inciso 2) consagró el derecho a ser juzgado en “juicio público”, plenamente implementado en el Código Procesal Penal vigente desde en marzo de 2000. La regla constitucional es la publicidad del juicio, salvo “los casos contemplados por el magistrado para salvaguardar otros derechos”, tales como los derechos de menores, la intimidad, el honor y reputación, etc.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inciso 3) dispone que nadie será “condenado sin juicio previo fundado en ley anterior al hecho del proceso”, consagrando el cardinal principio de legalidad penal: nullum crimen sine lege proevia y el de la “proscripción de los tribunales especiales”.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inciso 4) preceptúa el non bis in idem, salvo la “revisión favorable de sentencias penales establecidas en los casos previstos por la ley procesal”. Esto último se refiere al excepcional “recurso de revisión” de sentencia, por encima de la cosa juzgada, en casos de manifiesto error judicial, v.g. la aparición con vida del supuestamente asesinado.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inciso 5) estableció el derecho de toda persona a “que se defienda por sí misma o sea asistida por defensores de su elección”. Si bien el derecho a libre elección del defensor es una garantía fundamental, creemos que la fórmula “que se defienda por sí misma” es imprudente, ya que puede tener consecuencias gravosas al permitir que una persona ejerza su propia defensa aún sin ser abogado (!). Es riesgoso que un lego ejerza su defensa técnica cuando no tiene el conocimiento y la experiencia de un letrado.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inciso 6) prevé --con sabio criterio garantista y de Estado Social de Derecho-- que el Estado está obligado a proveer de un defensor gratuito, si el procesado no puede solventarlo.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siguientes garantías procesales están consagradas en los incisos: 7) derecho a “la comunicación previa y detallada de la imputación, así como de disponer de copias, medios y plazos indispensables para la preparación de la defensa”; 8) derecho a “que ofrezca, practique, controle e impugne pruebas”; y 10) derecho al “acceso, por sí o por intermedio de su defensor, a las actuaciones procesales, la que en ningún caso podrán ser secretas para ellos. El sumario no se prolongará más allá del plazo establecido por la ley”. Hubo quienes objetaron que estas normas tuvieran rango constitucional, aduciendo que correspondían a los códigos procesales por su naturaleza técnico-procesal; sin embargo, creemos muy acertado que estas normas tengan rango supralegal y cumplan un importante fin didáctico para las autoridades y para los ciudadanos. No obstante, debemos apuntar el desfasaje de ciertos términos con el procedimiento penal actual, que desterró la figura del “sumario”, de triste memoria, si bien subsisten los sumarios en sede militar, policial y administrativa, así como en el ámbito privado laboral.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disponer “que no se le opongan pruebas obtenidas o actuaciones producidas en violación de las normas jurídicas”, el inciso 9) merece una atención especial por el garantismo que consagra. En efecto, es la </w:t>
            </w:r>
            <w:r w:rsidRPr="001B7F27">
              <w:rPr>
                <w:rFonts w:ascii="Arial" w:eastAsia="Times New Roman" w:hAnsi="Arial" w:cs="Arial"/>
                <w:color w:val="003399"/>
                <w:sz w:val="17"/>
                <w:szCs w:val="17"/>
                <w:lang w:eastAsia="es-AR"/>
              </w:rPr>
              <w:lastRenderedPageBreak/>
              <w:t>constitucionalización de las doctrinas de la “exclusión probatoria” y del “fruto del árbol venenoso”(del derecho estadunidense) que invalidan las evidencias obtenidas ilegalmente, desde el allanamiento, el secuestro de documentos o la escucha de comunicaciones privadas sin orden judicial, hasta la información obtenida mediante torturas u otros medios repugnantes al Derecho, aunque haya llevado a descubrir otras pruebas. El inciso 11) --derecho a “la indemnización por el Estado en caso de condena por error judicial”-- atiende una circunstancia excepcional que sólo corresponde al ámbito penal; en consecuencia, no corresponde ubicarlo entre las garantías de “todo proceso que conlleve pena o sanción”. Por otra parte, el Art. 39 establece --en forma general y tuitiva-- la responsabilidad estatal, dando a “toda persona derecho a ser indemnizada justa y adecuadamente por los daños y perjuicios de que fuese objeto por parte del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Art. 19 dispone: “La prisión preventiva sólo será dictada cuando fuese indispensable en las diligencias del juicio. En ningún caso la misma se prolongará por un tiempo mayor al de la pena mínima establecida para igual delito, de acuerdo con la calificación del hecho efectuada en el auto respectivo.”. Este artículo, que junto con el 17 hizo imperiosa la reforma procesal penal, consagra el garantista principio de que toda persona debe “afrontar un proceso penal en libertad” y de que la excepción sea que lo haga bajo régimen de prisión preventiva. Se busca así evitar lo que la doctrina llama “anticipo de pena” y que era la regla bajo el régimen inquisitorial del Código de Procedimientos Penales de 1890. Bajo ese régimen, en el que el Juez “instruía el sumario e investigaba” y luego “sentenciaba”, el imputado era privado de su libertad, de entrada, y el Juez lo liberaba, en el mejor de los casos, recién después de dictar “el auto de instrucción de sumario” y de tomar la “declaración indagatoria”, a veces con meses de retardo. El Juez podía disponer la libertad – harto inusual--o “convertir la detención preventiva en prisión de igual carácter”. Esta famosa “conversión” era la regla. El trámite de eximición de prisión –de uso restringido-- llevaba un buen tiempo y generalmente lo obtenían sólo quienes podían solventar buenos abogados. No en balde, el mayor instituto penitenciario, Tacumbú, tenía una media del 95% de su población en prisión preventiva y de sólo un 5% de condenados; en la actualidad, el porcentaje fluctúa entre el 60% y el 80%, lo cual, obviamente, aún es insatisfactorio.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respecto a cuándo es indispensable la prisión preventiva, aparte de que el imputado sea oído, de que haya elementos de convicción de la existencia del ilícito y de que ellos permitan sostener la autoría o participación del imputado, el nuevo Código Procesal Penal establece que “cuando por la apreciación de circunstancias del caso particular, existan hechos suficientes para suponer la existencia de peligro de fuga o la posible obstrucción por parte del imputado de un acto concreto de investigación” (Art. 242 CPP). Los Arts. 243 y 244, CPP, desarrollan los supuestos de peligro de fuga y de peligro de obstrucción, respectivamente.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artículo constitucional que es paladina y diariamente violado es el 22, que establece: “De la publicación sobre procesos. La publicación sobre procesos judiciales en curso debe realizarse sin prejuzgamiento. El procesado no debe ser presentado como culpable antes de la sentencia ejecutoriada”. En efecto, basta abrir las páginas “judiciales” de los diarios de Asunción para constatar esta reiterada violación. Creemos que mientras no exista una consecuencia legal penal, administrativa, civil que se establezca por ley, la mencionada norma constitucional seguirá siendo una “expresión de deseos”, no un derecho y menos una realidad. Conste que últimamente la situación cambió un tanto, tras ciertas escandalosas violaciones de este artículo (matutinos de gran circulación con titulares y fotos de tapa con la leyenda “los asesinos de ...” debajo). Por otra parte, muchos dicen que ello se hubiere salvado si se hubiese escrito “los presuntos asesinos de ...” y si en todo el artículo se hubiese aludido a los “presuntos” o “supuestos”. Sin embargo, creemos que es muy difícil sostener que un procesado, que finalmente resultó inocente, no habría sido grave e irreversiblemente lesionado en su honor, reputación y dignidad, aunque siempre se lo haya tratado de “presunto” o “supuesto” delincuente, pero su nombre y/o foto haya aparecido repetidamente, por meses o años en los periódicos; además de seguro, el sobreseimiento o absolución saldrá una sola vez, a lo sumo un par de veces.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5. ¿Exceso garantista en el Estado de Excepción (Art. 288)?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nueva Constitución introdujo la figura del Estado de Excepción, en vez del Estado de Sitio, de nefasta memoria por la distorsión y el abuso de que fue objeto bajo la dictadura. Se imponían cambios, como los efectuados en los siguientes puntos: se restableció el carácter “represivo” del Estado de Excepción --calificación infeliz en la doctrina, porque sería mejor llamarlo “reactivo”-- en vez del carácter “preventivo”; se estableció como regla que corresponde al Congreso decretarlo o levantarlo y excepcionalmente al Poder Ejecutivo, en cuyo caso se necesita la ratificación del Congreso; se limitaron taxativamente los derechos pasibles de suspensión a la libertad ambulatoria (detención o confinamiento) y a la libertad de reunión y de manifestación; finalmente, se dispuso que el Poder Ejecutivo emita un decreto en cada caso de aplicación de medidas excepcionales y se reaseguró la vigencia de la Constitución, el funcionamiento de los poderes del Estado y del hábeas corpus durante la vigencia del Estado de Excepción10.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Ciertas cláusulas del Art. 288, más allá de la plausible intención garantista de los constituyentes, podrían ser cuestionables en punto a su funcionalidad, aplicabilidad y practicidad. Sobre todo, a la luz de su primera aplicación, el 19 de mayo de 2000, con motivo del levantamiento militar de la noche anterior, felizmente abortado, cuando tanquetas llegaron a disparar contra el edificio del Palacio Legislativo.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Creemos que es poco práctico que el Presidente mencione, en el primer decreto de “implantación del Estado de </w:t>
            </w:r>
            <w:r w:rsidRPr="001B7F27">
              <w:rPr>
                <w:rFonts w:ascii="Arial" w:eastAsia="Times New Roman" w:hAnsi="Arial" w:cs="Arial"/>
                <w:color w:val="003399"/>
                <w:sz w:val="17"/>
                <w:szCs w:val="17"/>
                <w:lang w:eastAsia="es-AR"/>
              </w:rPr>
              <w:lastRenderedPageBreak/>
              <w:t>Excepción”, qué derechos serán restringidos. Tal como ocurrió en el caso de la asonada, ¿cómo y por qué tendría el Presidente --o su aparato de inteligencia-- que saber, en esas primeras horas de la madrugada si, además de efectuar arrestos, necesitaría también efectuar traslados al interior del país, prohibir o sólo restringir reuniones y manifestaciones? Independientemente de que compartimos plenamente la ratio juris y el sentido garantista de este requisito, nada obsta a que el Poder Ejecutivo amplíe o reduzca los derechos restringidos según sea oportuno o conveniente, siempre dentro de la gama permitida en el mismo artículo constitucional. Por otra parte, esta garantía a favor del ciudadano –de precisión y limitación de los derechos suspendidos-- está atendida más abajo --en el mismo artículo-- con la exigencia de que el Presidente “sólo podrá ordenar, por decreto y en cada caso” la detención de los indiciados, el traslado a otro punto de la República, la prohibición o restricción de reuniones y manifestaciones. Por lo demás, tampoco es claro ni práctico este requisito para todos sus supuestos. ¿Tiene que dictarse un decreto para cada “reunión pública o manifestación”? Creemos que bastaría con un solo decreto en que se establezca la prohibición --o se aclare en qué consiste la restricción-- del derecho de reunión y manifestación, especificando el territorio afectado en todo caso.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Otra cuestión controvertida es el plazo máximo por el cual “el indiciado puede estar detenido a disposición del Poder Ejecutivo”, considerando que el mismo artículo establece que el estado de excepción “no interrumpirá (...) la vigencia de esta Constitución ni específicamente el hábeas corpus”. Una respuesta básica sería, mientras dure el Estado de Excepción. Sin embargo, la cuestión que se planteó es si existe un plazo límite --durante el Estado de Excepción-- en que el Ejecutivo debe poner al indiciado a disposición del juez o liberarlo. En el alzamiento del 18 de mayo de 2002, se interpusieron casi cien hábeas corpus, simultáneamente, con la previsible congestión en los juzgados. Algunos abogados llegaron a sostener que el plazo de detención a disposición del Poder Ejecutivo se limitaba a 24 horas, aduciendo que se debía aplicar el Art. 12 de la Constitución --que estipula dicho plazo-- en virtud de que el Art. 288, como vimos, garantiza la vigencia de la Constitución durante el Estado de Excepción. Algunos abogados incluso criticaron la aplicación por los jueces de la ley reglamentaria (N° 1.500/00) en cuanto dispone que en los casos de detenidos bajo el Estado de Excepción, el juez se “limitará a constatar la existencia del decreto presidencial que ordena el arresto” (Art. 27). Se alegaba que se debería decretar la libertad pasadas las 24 horas, a menos que se hubiese abierto un proceso penal contra del indiciado.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otra situación polémica --durante el pasado Estado de Excepción-- la generó la imprudente frase del Art. 288: “En todos los casos, las personas indiciadas tendrán la opción de salir del país.” El texto no admite excepciones. ¿Significa acaso que los indiciados que hubiesen cometido graves crímenes, incluso de lesa humanidad, durante los hechos que motivaron el Estado de Excepción, podrían siempre acogerse al beneficio de la “opción del salir del país” y, por lo tanto, eludir no sólo el arresto presidencial sino también la acción de la Justicia? Se debió aclarar que los detenidos o traslalados a otro punto de la República por disposición del Poder Ejecutivo, tendrán la opción de salir del país, si no hubiese proceso criminal, militar u otro motivo legal que obligue a su retención o arraigo en la República en ese momento.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Estamos de acuerdo con que se disponga que “durante la vigencia del estado de excepción, no se interrumpirá la vigencia de la Constitución y en especial la garantía del Hábeas Corpus”, pero no con la interpretación de que el Poder Ejecutivo puede decretar un arresto o un traslado a otro punto de la República por sólo 24 horas. No podemos evitar el supuesto ad absurdum: un agente de policía puede detener a cualquier persona por averiguaciones hasta 24 horas, término en que debe ponerlo a disposición del juez: ¿el Presidente de la República --¡previa declaración del Estado de excepción y dictando un decreto para cada caso! – tendría la misma atribución que un subordinado suyo de la Policía Nacional? ¿Qué facultad extraordinaria sería esa?11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¿El garantismo causa la inseguridad ciudadana y la ineficaz lucha contra la corrupción?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diez años de la Constitución de 1992 y desde la entrada en vigencia de los códigos Penal (1998) y Procesal Penal (2000), amplios sectores de la opinión pública creen que el auge de la criminalidad común, su virtual impunidad y la consiguiente inseguridad se deben al nuevo sistema penal, liberal y garantista. A titulo ilustrativo, la vox populi afirma: “todos los derechos son para los 'delincuentes' (sic) y ninguno para la víctima o para la defensa de la sociedad en general ”. Igual cuota de “responsabilidad” le atribuyen al régimen penal y procesal penal en el ineficaz combate a la corrupción estatal, en el sentido de que supuestamente “el nuevo sistema penal y procesal penal protege a los funcionarios corruptos antes que a la cosa pública”; en especial, se suele deplorar la inacción o la impotencia de los fiscales y jueces ante groseros, ostensibles e injustificados enriquecimientos de funcionarios públicos (sobre todo de Aduanas, Tributación, etc.) so pena de “invertir la carga de la prueba”, ya que ello violaría la “presunción de inocencia”, constitucionalmente consagrada.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cuanto al supuesto aumento de la inseguridad ciudadana, creemos que los plazos para que la Policía ponga al detenido a disposición del Juez y para comunicar al Fiscal son exiguos por incondicionados. En efecto, la Policía tiene 24 horas12 para presentar al imputado ante la autoridad judicial, y sólo seis horas para “comunicar al Ministerio Público y al Juez de la aprehensión” (Art. 239, in fine, CPP). Sin embargo, de ello no cabe concluir –necesariamente-- que deba liberarse a presuntos delincuentes por la simple “tiranía de los plazos”, sin haberse extremado la investigación que amerite la gravedad del hecho punible o la denuncia de la víctima. Además, cabe aclarar un muy difundido error: el plazo de seis horas es, mas bien, un plazo establecido a la Policía a fin de no retrasar su </w:t>
            </w:r>
            <w:r w:rsidRPr="001B7F27">
              <w:rPr>
                <w:rFonts w:ascii="Arial" w:eastAsia="Times New Roman" w:hAnsi="Arial" w:cs="Arial"/>
                <w:color w:val="003399"/>
                <w:sz w:val="17"/>
                <w:szCs w:val="17"/>
                <w:lang w:eastAsia="es-AR"/>
              </w:rPr>
              <w:lastRenderedPageBreak/>
              <w:t xml:space="preserve">actuación, no –precisamente-- en favor de la liberación del detenido; alguna interpretación chicanera sugirió que de no operarse la comunicación en seis horas, automáticamente y ministerio legis debe decretarse la libertad.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complejísimo y multicausal problema del “aumento de la criminalidad” pasa por muchas otras variables de diversa naturaleza sin negar que también incide el sistema penal y procesal penal. En cuanto a lo último, creemos que el problema radica en la deficiente aplicación que la Policía y ciertos agentes fiscales y jueces hacen de las normas constitucionales y legales. Está más bien en la Constitución “material” que en la Constitución “formal” o en los nuevos códigos, con su impacto en la percepción ciudadana de inseguridad e impunidad. Recientemente, también altas autoridades, incluso de la Corte Suprema13, han responsabilizado --irreflexivamente o por fácil populismo—de ello al nuevo Código Procesal Penal por estar “diseñado para países avanzados”.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deficiencias a nivel policial --tal vez en parte explicables por la escasez de recursos materiales y de personal calificado-- se dan en punto a la mala coordinación en la investigación con el Fiscal, a la lentitud en la reacción, a la mala recolección y tratamiento de evidencias, al aseguramiento del lugar del delito, etc. A su vez, los Fiscales sólo tienen formación jurídica, carecen de preparación técnica especial y de entrenamiento en investigación criminal y, por supuesto –también--, de suficientes y adecuados recursos. Asimismo, en la etapa de imputación (anterior a la de formal acusación), abogados defensores denuncian, especialmente en casos muy sonados, la renuencia de los fiscales de permitir pleno acceso a la “carpeta fiscal”, lo cual genera una patente desigualdad de armas entre las parte, atentatoria del debido proceso.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lo general, se suele dar una recíproca “devolución de culpa” entre Policías, Fiscales y Jueces. Los Fiscales, en vez de estrechar vínculos y coordinar estrategias de investigación con la Policía, se lamentan de la “ausencia de pruebas suficientes” remitidas por la Policía; ésta, por su parte, se queja de que el Fiscal “no llega a tiempo, no ordena o no pide” determinada diligencia y de que “los fiscales no tiene experiencia para investigar delitos” y, menos, para “dirigir una investigación criminal”. El ciclo se completa con el Juez de Garantías que dispone la libertad u otorga una “medida alternativa o sustitutiva de la prisión preventiva” con ligereza, sin sopesar acabadamente la falta de arraigo, la pena que está en juego, el perjuicio causado por el imputado, la actitud frente a él, y sus antecedentes durante el procedimiento o en otro anterior (Art. 243 “Peligro de fuga”, CPP).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cuanto a la responsabilidad del nuevo régimen penal y procesal penal en el ineficaz combate a la corrupción estatal se suele “responsabilizar” de ello, apresurada y ligeramente, a las “nuevas garantías” en favor del procesado, y, especialmente, por no obligar a todo funcionario público a justificar enriquecimientos que no se compadecen de su ingreso, porque constituiría una inconstitucional inversión de la carga de la prueba.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igual que el reproche anterior, buena parte del problema también, y en principio, radica en la deficiente actuación de la Policía y de los Fiscales, así como en la mala aplicación de las figuras penales y procesales penales por parte de los jueces. </w:t>
            </w:r>
            <w:r w:rsidRPr="001B7F27">
              <w:rPr>
                <w:rFonts w:ascii="Arial" w:eastAsia="Times New Roman" w:hAnsi="Arial" w:cs="Arial"/>
                <w:color w:val="003399"/>
                <w:sz w:val="17"/>
                <w:szCs w:val="17"/>
                <w:lang w:eastAsia="es-AR"/>
              </w:rPr>
              <w:br/>
              <w:t>Mas en otro orden de cosas, tras el golpe del 3 de febrero de 1989 que derribó la dictadura, el sistema penal se vio –lamentablemente-- sin otras figuras penales para enfrentar la corrupción en el régimen derrocado que el Decreto N° 448/40 de “prevención y represión del enriquecimiento ilícito de funcionarios públicos”. Surgió, entonces, la defensa que “enriqueció” a varios abogados defensores de corruptos personeros de la dictadura: se trataba de un mero “decreto” y no de una “ley formal” y además implicaba una “inconstitucional inversión de la carga de la prueba”.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Dicho decreto se dictó el 18 de marzo de 1940 --durante un lamentable período de nuestra historia—, cuando el Congreso acaba de “autodisolverse” (16 de febrero de 1940) y antes de la entrada en vigencia de la Constitución de 1940 que, institucionalizó el “Decreto-Ley”. Un conocido penalista, entonces, había concluido que “el Decreto 448 está vigente y tiene fuerza de ley”14. Si bien los “decretos-leyes” se convertían en leyes formales recién al ser aprobadas por el Congreso, el nuevo Congreso unicameral instituido por la Constitución de 1940 no se integró hasta 1948 y una de sus primeras leyes fue, precisamente, la Ley N° 9 del 22 de julio de 1948, cuyo Art. 1° establecía: “Apruébanse todos los Decretos-Leyes dictados por el P.E. desde el 18 de febrero de 1940 hasta el 31 de marzo de 1948”, con lo que el supuesto defecto formal habría quedado salvado.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cuanto a su contenido –que es lo que más nos interesa--, el Art. 2° del Decreto 448/40 “consideraba enriquecimiento ilícito [del funcionario] el aumento o acrecentamiento del patrimonio que no proviniere”: de emolumentos legales del cargo; del ejercicio de profesión, oficio o trabajo compatible con la función pública; del aumento o acrecentamiento natural de los bienes declarados al iniciar la función o adquiridos después; de herencia, legado o donación; y de hechos fortuitos comprobados. El Art. 3° establecía “La prueba de que el enriquecimiento proviene de las causa mencionadas incumbe siempre al funcionario o empleado”. Respecto de la objeción de inversión de la carga de la prueba, un constitucionalista de nota como el Prof. Justo J. Prieto sostuvo, entonces –sin éxito-- que “no constituye inversión de prueba, pues se interpone un hecho que sirve de indicio suficiente como presunta transgresión de la ley: la desproporción observada entre la declaración jurada y los bienes posteriormente aparecidos. El caso es similar al alibí o coartada que presenta la defensa ante la acusación de un testigo supuestamente presencial que implica al acusado. Es también la argumentación de descargo de aquel a quien, luego de escucharse un disparo, es encontrado con el revólver humeante frente al cadáver. No se trata de inversión de la prueba, sino de mera defensa en juicio15”.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A nivel de constitución “material”, lo cierto es que si algo marcó a la transición fue el “celo garantista” respecto de dicho tipo penal, a tal punto de que nunca se pudo legislar sobre el “enriquecimiento ilícito de funcionarios públicos” por la objeción, casi “axiomática”, de que todo tipo penal al respecto invertiría la carga de la prueba, violando la presunción constitucional de inocencia . Un proyecto de ley “anticorrupción” de 1995, que contenía un artículo similar, no pudo prosperar; el nuevo Código Penal no tiene un tipo legal como el del Decreto 448/40. Sin embargo, esta normativa no fue derogada al derogarse el viejo Código Penal de 1914, de modo que sigue vigente.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respecto a la supuesta inversión de la prueba, creemos que las garantías procesales y judiciales amparan a todo imputado, procesado o acusado, sea o no funcionario público. No obstante lo anterior, así como la “conducta pública” del funcionario del Estado está expuesta a un mayor --y justificado-- escrutinio público que la “conducta privada” o de los particulares, el patrimonio del funcionario público también debe estar sometido a igual o mayor escrutinio público, fundado –precisamente-- en la existencia de un claro “interés público”. Considerando que se realiza mediante una combinación de delitos de muy difícil demostración en juicio, como la malversación, defraudación, soborno, cohecho, exacción y el tráfico de influencias, el enriquecimiento injustificado del funcionario público es algo muy diferente –y esta muy por encima-- de un hecho privado de substracción, apropiación indebida o enriquecimiento injusto.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la misma razón que, en materia de libertad de expresión y de prensa, el funcionario del Estado o toda “figura pública” tiene una menor protección --que el resto de los ciudadanos-- de su derecho a la intimidad, honor y reputación --siempre que esté en juego un claro interés público--, en materia de defensa del patrimonio público (del dinero de todos, del Fisco, de la Cosa Pública), todo funcionario público debería rendir cuentas y justificar todo enriquecimiento patrimonial apreciable suyo o de persona interpuesta, desde que asumió su cargo público: A) previa demostración por el Ministerio Público, no sólo de los i) ingresos lícitos del funcionario sino de los ii) bienes acrecidos injustificada o inexplicablemente; y B) siempre que fuere debida y formalmente requerido a ello. Esta regla o principio, que a falta de mejor denominación llamamos “pro Res Publicae”, es de imperiosa necesidad en el caso paraguayo, no sólo por la impunidad con que –ofensivamente— funcionarios públicos con sueldos modestos exhiben enormes fortunas16, sino también por ser uno de los pocos países que carecen del “impuesto a la renta personal”, pese a proclamarse como un Estado social de derecho; el control sobre el dinero mal habido es, por lo tanto, casi nulo.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estamos convencidos de que se trate efectivamente de una simple y llana “inversión de la carga de la prueba”, porque el Ministerio Público tendría siempre el onus probandi de acreditar no sólo los ingresos lícitos conocidos del funcionario público sino también todo enriquecimiento injustificado del funcionario o de persona interpuesta desde que asumió su cargo o desde su última declaración de bienes. Y en el negado caso que así fuese, debería establecerse esta excepción en virtud del mencionado principio pro Res Publicae.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mayor aval constitucional al tipo penal mencionado se encuentra --a nuestro criterio-- en el Art. 104 de la Constitución paraguaya (dentro del capítulo “De la Función Pública”) cuando dispone: “De la declaración obligatoria de bienes y rentas. Los funcionarios públicos y los empleados públicos, incluyendo a los de elección popular, los de entidades estatales, binacionales, autárquicas, descentralizadas y, en general, quienes perciban remuneraciones permanentes del Estado, estarán obligados a prestar declaración jurada de bienes y rentas dentro de los quince días de haber tomado posesión de su cargo, y en igual término al cesar el mismo.” ¿Cuál es el sentido de esta norma constitucional si no el de imponer un tratamiento especial al patrimonio del funcionario público y, sobre todo, que se imponga un examen y contrastación –ope Constitutione—del patrimonio al ingresar y al salir de la función pública, que no es un empleo –o no debería serlo— común u ordinario?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A modo de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Vimos que el Art. 12, inc. 5) de la Constitución garantiza a todo detenido o arrestado el derecho a ser puesto a disposición del magistrado judicial competente dentro de las 24 horas. Con respecto a dicho plazo, independientemente del laudable garantismo que trasunta, creemos que se debería de haber ponderado circunstancias de lugar, comunicación, accesibilidad, etc. Bajo las actuales circunstancias, tiene un “efecto boomerang” , ya que es de casi imposible cumplimiento en gran parte del Paraguay rural, que carece de una buena integración física. Como dicho plazo se dispuso por primera vez en la Constitución de 1870, no queremos ni imaginarnos lo que habrá sido su “observancia” poco después de la Guerra de la Triple Alianza, con el país diezmado y devastado. Baste sólo el ejemplo de realismo de la Constitución Española de 1978 que --a fines del XX y en Europa!-- estipula un plazo máximo de “setenta y dos horas” en que el detenido deber ser puesto en libertad o a disposición del Juez.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trata de la Constitución “material”, que nos impone constatar la difícil observancia efectiva de estas garantías en numerosos casos y por circunstancias explicables, aunque no siempre justificables. Uno no puede dejar de interrogarse si es bueno poner un plazo tan breve cuando sólo en la Capital y en otras pocas ciudades se puede, responsablemente, prometer cumplirlo ¿No invita a la condenable práctica de tener por “letra muerta” cláusulas constitucionales, con toda su secuela atentatoria de la majestad de la Constitución y del Estado de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Por otra parte, con respecto a la constitución “material” en materia de la excepcionalidad de la prisión preventiva, no podemos dejar de apuntar que sólo la escasa clase alta y media puede hacer pleno uso de esta garantía “de evitar anticipos de condenas”. Existe un régimen de discriminados --de facto y sin intención de las autoridades posiblemente-- por carecer de bienes, crédito, arraigo, aval personal o incluso por tener antecedentes policiales o judiciales. De hecho, hay ciudadanos de “segunda clase” -- marginales o pequeños delincuentes-- para quienes se incumple en forma abismalmente desigual respecto de quienes tienen bienes o aval real o personal suficientes para afianzar su comparencia en juicio y pagar abogados para plantearlas diligente, insistente y efectivamente. La única excepción es la de los “marginales operadores de peces gordos” (distribuidores zonales o barriales de narcotráfico, lavado de dinero, autotráfico, etc.) que suelen recibir “ayuda” para contratar hábiles abogados y plantear cuantas medidas alternativas a la prisión preventiva –incluso abusivamente-- quepa plantearse.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conclusión, la carencia de una “cultura política democrática” así como de ciertas actitudes de inercia post-dictatorial ayudan a explicar muchos de los desajustes, déficits y efectos no queridos de la implantación del garantismo en Paraguay. No obstante, reafirmamos nuestra convicción de que el garantismo en nuestra constitución “formal” y, eventualmente cada vez más en la “material”, arroja más luces que sombras, más progreso que retroceso hacia la auténtica defensa de la dignidad humana.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Copyright Jorge Seall-Sasiain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4"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6" w:name="16"/>
            <w:bookmarkEnd w:id="16"/>
            <w:r w:rsidRPr="001B7F27">
              <w:rPr>
                <w:rFonts w:ascii="Arial" w:eastAsia="Times New Roman" w:hAnsi="Arial" w:cs="Arial"/>
                <w:b/>
                <w:bCs/>
                <w:color w:val="009933"/>
                <w:sz w:val="20"/>
                <w:szCs w:val="20"/>
                <w:lang w:eastAsia="es-AR"/>
              </w:rPr>
              <w:t>"El Hábeas Data con relación a la Internet y a las Bases de Datos - Alcances de la libertad informática - La privacidad en la informática - El derecho a la intimidad en la Internet"</w:t>
            </w:r>
            <w:r w:rsidRPr="001B7F27">
              <w:rPr>
                <w:rFonts w:ascii="Arial" w:eastAsia="Times New Roman" w:hAnsi="Arial" w:cs="Arial"/>
                <w:color w:val="003399"/>
                <w:sz w:val="17"/>
                <w:szCs w:val="17"/>
                <w:lang w:eastAsia="es-AR"/>
              </w:rPr>
              <w:br/>
              <w:t>Domingo José Luis Cieza G.</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Constitucional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5"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Hábeas Data con relación a la Internet y a las Bases de Datos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Alcances de la libertad informática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privacidad en la informática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derecho a la intimidad en la Internet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Domingo José Luis Cieza G.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Introducción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advenimiento de la Internet ha acrecentado los riesgos a los cuales está expuesta la vida privada de las personas en la sociedad de la información, en particular, aquellos derivados del tratamiento de datos personales a consecuencia de la utilización de las nuevas tecnologías de la información y de la comunicación, todo esto nos hace cuestionarnos sobre cuál debe ser el rol del Derecho ante la referida problemática. En el presente ensayo estudiaremos el hábeas data y su aplicación a la Internet y a las bases de datos, el alcance de la libertad informática, la privacidad en la informática para terminar con el derecho a la intimidad todos ellos aplicados al nuevo ámbito que representa la Internet. En el Anexo copiamos in extenso la Directiva 1997/66/CE del Parlamento Europeo y del Consejo, de 15 de diciembre de 1997, relativa al tratamiento de los datos personales y a la protección de la intimidad en el sector de las telecomunicaciones, por parecernos una obra digna de ser leída y, por qué no, en algún momento </w:t>
            </w:r>
            <w:r w:rsidRPr="001B7F27">
              <w:rPr>
                <w:rFonts w:ascii="Arial" w:eastAsia="Times New Roman" w:hAnsi="Arial" w:cs="Arial"/>
                <w:color w:val="003399"/>
                <w:sz w:val="17"/>
                <w:szCs w:val="17"/>
                <w:lang w:eastAsia="es-AR"/>
              </w:rPr>
              <w:lastRenderedPageBreak/>
              <w:t xml:space="preserve">tomada como modelo para nuestra legislación positiva.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Hábeas Data y la Internet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Habeas Data brinda el derecho a toda persona de conocer qué datos propios han sido incluidos en registros y bancos de datos, o en registros privados, destinados a proveer de informes, para pedir su supresión, rectificación, confidencialidad o actualización en caso de falsedad o discriminación. El instituto del Hábeas Data fue introducido en nuestra Constitución de 1992, en su capítulo "De las Garantías Constitucionales", en el artículo 135 y dice: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"Toda persona puede acceder a la información y a los datos que sobre sí misma, o sobre sus bienes, obren en registros oficiales o privados de carácter público, así como conocer el uso que se haga de los mismos y de su finalidad".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"Podrá solicitar ante el magistrado competente la actualización, la rectificación o la destrucción de aquellos, si fuesen erróneos o afectaran ilegítimamente sus derechos".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artículo citado establece que toda persona puede pedir a los responsables de un archivo de datos que le proporcione la información allí obrante, y corregirla en caso de no ser veraz. En lo que respecta a su persona como a sus bienes. Juan B. Rivarola Paoli en su libro "Derecho de Información" comenta que "es común en nuestro país, el manejo discrecional de la base de datos que se maneja a través de entidad interbancarias, de informes confidenciales, etc. que a veces desactualizan informes o por el abusivo manejo, causan un daño irreparable a los ciudadnos. En estos casos, algún afectado directo puede recurrir a la justicia, para corregir anormalidades frecuentes en dichos informes".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Si a esto le sumamos que el avance desenfrenado de las nuevas tecnologías de la información, trajo como consecuencia el manejo arbitrario de los datos personales, y por ende, la necesidad de garantizar la seguridad pública que presupone la privacidad, derecho que radica en la dignidad de la persona humana.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Si se hubiera querido limitar el hábeas data a la tutela exclusiva de la intimidad, se hubiera recurrido a un texto como el establecido para el hábeas corpus, que especifica su aplicación cuando el derecho afectado es la libertad física. Por lo tanto, el hábeas data es un medio constitucional útil para la protección de todos los derechos y garantías establecidos por la Constitución, los Tratados y las leyes cuando resultan violados por vía informática.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hábeas data tiene como objetivos: acceder a la información; rectificarla, actualizarla, suprimirla y asegurar su confiabilidad.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Libertad Informática o autodeterminación informativa, ha sido denominada por la doctrina española como “un nuevo derecho fundamental que tiene por objeto garantizar la facultad de las personas, para conocer y acceder a las informaciones que les conciernen, archivadas en bancos de datos y controlar su calidad, lo que implica la posibilidad de corregir o cancelar datos indebidamente procesados y disponer sobre su transmisión”. Esta facultad, es lo que se conoce como Habeas Data que constituye, en suma, un cauce procesal para salvaguardar la libertad de la persona en la esfera informática.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Legislación Nacional: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el marco constitucional tenemos el artículo 135 que habla del Hábeas Data.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Como ley reglamentaria está la Nro. 1682, "Que reglamenta la información de carácter privado".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Lesgislación Comparada: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Existen en Estados Unidos algunas normas específicas orientadas expresamente a regular la información contenida en bases de datos. En tal sentido cabe mencionar:</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 The Privacy Act of 1974, dirigida a prohibir la difusión pública sin expreso consentimiento del afectado, de las informaciones disponibles para el gobierno en sus bases de datos.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 The Fair Credit Reporting Act, regula la difusión de información disponible en las agencias crediticias.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xml:space="preserve">* The Telecommunications Act of 1996, otorga protección a los usuarios sobre la información que de ellos disponen los Servicios de Telecomunicaciones.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Consumer Internet Privacy Protection Act of 1997: por la cual se prohibe a las empresas de servicios informáticos divulgar información personal sin previo consentimiento escrito.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Europa el tema se afrontó desde el punto de vista de la defensa y garantía a los derechos de sus ciudadanos.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Comunidad Europea redactó un Convenio Europeo sobre el Cibercrimen, con fecha del 23 de noviembre del año 2001. Fue firmado en Budapest y bajo la protección del Consejo de Europa. Este Convenio se estructura en cuatro capítulos: Definiciones, medidas a ser tomadas en los ordenamientos internos de los firmantes, cooperación internacional y disposiciones finales.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Directiva 1997/66/CE del Parlamento Europeo y del Consejo, de 15 de diciembre de 1997, relativa al tratamiento de los datos personales y a la protección de la intimidad en el sector de las telecomunicaciones.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También la CE ha fijado normas desde 1995, como la Directiva relativa a la Protección de Datos en su ámbito, donde establece las responsabilidades y sanciones.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Por otra parte, cada uno de los países miembros, ha ido implementando su propia regulación.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ejemplo, en Alemania, a partir de 1997, se cuenta con una Ley Federal donde rigen las condiciones generales para los servicios de información y comunicación, se acentúan los principios supremos en relación a la resguardo de los datos personales, requiriéndose el consentimiento del usuario para que los proveedores de servicios puedan efectuar la recolección y proceso de la información , así como su propósito y uso de los datos allí registrados.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También Suecia, a través de su Data Act de 1973, cuenta con instrumentos idóneos y permanentemente actualizados destinados a la protección de la información personal.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Reino Unido ha establecido un marco legal regulatorio de la actividad de los proveedores de información por medio de dos instrumentos llamados Data Protection Bill de 1997 y Data Protection Act de 1998.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Alcances de la libertad informática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Libertad Informática forma parte del núcleo de derechos denominados de tercera generación, debido a que el derecho a la intimidad adquiere una nueva dimensión al verse amenazado por el uso abusivo de la informática. El mismo, bajo la forma de libertad informática, aúna la noción clásica de los derechos de primera generación, la libertad, en cuanto define las posibilidades reales de autonomía y de participación en la sociedad contemporánea, que pueden verse amenazadas por el mal uso que se haga de determinados datos personales; la igualdad, valor guía de los derechos de segunda generación, en cuanto en informática se concibe como un instrumento de control que puede introducir asimetrías entre quien controla ese poder y quienes no tiene acceso a él.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doctrina y jurisprudencia española han trasladado el contenido esencial del derecho a la intimidad desde la facultad de aislamiento a (Ius Solitundinis), al poder de control sobre las informaciones relevantes para cada sujeto. De esta misma manera lo ha entendido la Corte Suprema de la Nación Argentina, que señaló: “en la era de las computadoras el derecho a la intimidad ya no puede reducirse a excluir a terceros de la zona de reserva, sino que se traduce en la facultad del sujeto de controlar la información personal que de él figura en los registros, archivos y bancos de datos”.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libertades del hombre exige la protección jurídica de su intimidad ante la potencial agresividad de la informática. De ahí el desarrollo de las llamadas leyes de protección de los datos en las modernas legislaciones.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utilización exponencial de medios digitales multiplica obviamente la información almacenada y las bases de datos, generando así una nueva masa de información personal expuesta al público. Cuando las bases de datos eran pocas o cuando se generaban deliberadamente, era más fácil controlarlas. Ahora todo se multiplica y las bases se podrían generar en forma automática.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primeras legislaciones se preocuparon por distinguir los datos de la persona que se denominan sensibles. Nuestra Ley 1.682: Que reglamenta la información de carácter privado, en su artículo 4to. habla de "datos sensibles" </w:t>
            </w:r>
            <w:r w:rsidRPr="001B7F27">
              <w:rPr>
                <w:rFonts w:ascii="Arial" w:eastAsia="Times New Roman" w:hAnsi="Arial" w:cs="Arial"/>
                <w:color w:val="003399"/>
                <w:sz w:val="17"/>
                <w:szCs w:val="17"/>
                <w:lang w:eastAsia="es-AR"/>
              </w:rPr>
              <w:lastRenderedPageBreak/>
              <w:t>y menciona como tales a "los referentes a pertenencias raciales o étnicas, preferencias políticas, estado indivial de salud, convicciones religiosas, filosóficas o morales; intimidad sexual y, en general, los que fomenten prejuicios y discriminaciones, o afecten la dignidad, la privacidad, la intimidad doméstica y la imagen privada de personas o familias". Sin embargo, consideramos que ahora todo puede tornarse sensible en la medida en que la sumatoria de datos no sensibles, pero que permitan hacer un seguimiento en la vida de la persona, también puede representar una afrenta a la privacidad.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Internet agrega elementos engañosos de la privacidad: es que si tendrá tanta incidencia en la vida de las personas, y bajos índices de seguridad, la vida de la persona quedará más expuesta que antes por el hecho de que tales registros y actividades podrán ahora ser revisados por muchos esto crea una verdadera psicosis del anonimato.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privacidad en la informática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Con el uso masivo de la Internet en nuestro país, se abre un nuevo campo de estudio relacionado a la interferencia de la informática en la privacidad, estudios que no son nuevos, pues ya tienen más de dos décadas, pero que para nuestro campo legal son totalmente desconocidos. A medida que se ahonda el uso de la Internet se comienzan a intercambiar datos, proliferan los mercados electrónicos, las publicaciones en línea, las home page, los requerimientos de información, los requerimientos de servicios, la actividad del teletrabajo, las interconsultas médicas, las video conferencia, todo ello abre un amplio campo de riesgo para la privacidad.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¿Qué cambios podrían esperarse en el Derecho? Debe esperarse, sin duda, un reavivamiento del interés por el tema. Por un lado, una mayor protección de la intimidad, un agravamiento y ampliación de las figuras protectoras, mayores exigencias de seguridad para quienes almacenan datos de las personas. También un mayor interés del derecho por los sistemas de encriptado, hoy solución para los problemas de seguridad que plantea el mundo digital.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datos llamados sensibles: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Como ya mencionaramos más arriba, la Ley 1.682, Que regalmenta la información de carácter privado habla de los "datos sensibles" en su articulado 4to. que dice así:</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"Se prohibe dar publicidad o difundir datos sensibles de personas que sean explícitamente individualizadas o individualizables".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"Se consideran datos sensibles los referentes a partenencias raciales o étnicas, preferencias políticas, estado individual de salud, convicciones religiosas, filosóficas o morales; intimidad sexual y, en general, los que foemente prejuicios y discriminaciones, o afecten la dignidad, la privacidad, la intimidad doméstica y la imagen privada de personas o familias".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Ahora bien, nos preguntamos si la distinción entre datos sensibles y no sensibles cabe en la actualidad con sistemas de bases de datos que pueden entrecruzarse y generar así perfiles insospechados para el propio usuario, puesto que un dato de relativa importancia dado en un momento podría ser sumado a otro ubicado en otra base de datos y juntos conformar un dato relevante. Por ello ratificamos que la distinción entre datos sensibles y no sensibles ha ido perdiendo la importancia que inicialmente tenía, frente a las nuevas técnicas y la capacidad para almacenar y disponer fácilmente de enormes volúmenes de información. Pareciera que la distinción inicial no ha ido acorde a la evolución de la tecnología de la información.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derecho a la intimidad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Intimidad según el diccionario de la Real Academia Española es la "zona espiritual íntima y reservada de una persona o de un grupo, especialmente de una familia"; esta definición coincide la llamada “doctrina de la autodeterminación informativa”, creada por el Tribunal Constitucional Alemán en un fallo del 15 de diciembre de 1983 donde se instituye que es titular de los datos personales la propia persona y debe ser requerido su consentimiento por parte de terceros que deseen almacenarlos, cederlos o publicarlos; el Diccionario Jurídico de Ossorio y Gallardo, define al derecho a la intimidad como "el derecho que tienen las personas a que su vida intima sea respetada, que nadie se entrometa en la existencia ajena publicando retratos, divulgando secretos, difundiendo correspondencia, mortificando a otros en sus costumbres y perturbando de cualquier otro modo su intimidad".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el título II, Capítulo II de la Constitución Nacional encontrarmos el artículo 33 que reza: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"Se establece la intimidad personal y familiar, así como el respeto a la vida privada, son inviolables. La conducta de las personas en tanto no afecten el orde público establecido en la ley o a los derechos de terceros estará exenta de </w:t>
            </w:r>
            <w:r w:rsidRPr="001B7F27">
              <w:rPr>
                <w:rFonts w:ascii="Arial" w:eastAsia="Times New Roman" w:hAnsi="Arial" w:cs="Arial"/>
                <w:color w:val="003399"/>
                <w:sz w:val="17"/>
                <w:szCs w:val="17"/>
                <w:lang w:eastAsia="es-AR"/>
              </w:rPr>
              <w:lastRenderedPageBreak/>
              <w:t>autoridad pública.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Se garantiza el derecho a la protección de la intimidad de la dignidad y de la imagen privada".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Nos dice el destacado jurista José A. Moreno Ruffinelli en su obra "Nuevas Instituciones de la Cosntitución Nacional", cuanto sigue: "No se puede negar a la persona el derecho que tiene a preferir ciertas compañías, ciertos efectos. O realizar ciertas acciones que a nadie interesan. Su círculo a veces se amplía con las personas de su familia o de su amistad. Por ello el concepto de intimidad o privacidad no puede circunscribirse únicamente a una persona ya que frecuentemente el mismo se encuentra ampliado.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Y prosigue diciendo: "La tecnología se ha desarrollado de maneral tal en el campo de la electrónica que prácticamente no hay límites para detenerla y es así como se conocen hoy equipos sofisticados que, apoyados en aparatos espectaculares pueden capatar conversaciones a más de doscientos metros de distancia, en una clara invasión a la intimidad de dos personas que desaprensivamente puede estar conversando, aunque el espionaje no sea con fines ilícitos, sino para satisfacer la curiosidad personal de quien así actúa".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Hoy día con el uso masivo de la Internet esta invasión de la privacidad puede llegar a límites insospechados, que van desde la modificación de datos, injerencia en el correo electrónico (e-mail), acceso no autorizado a páginas web, injerencia en conversaciones on line, o transmisiones personales vía la red. El nuevo derecho a la intimidad posee una faz preventiva y una faz reparadora: preventiva por la facultad de conocer los datos personales que constan en registros automatizados, de exigir la rectificación, actualización y cancelación de la información; y reparadora al dar la posibilidad de resarcimiento de daños y perjuicios por parte de quien lo padece.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Nos dice Rivarola Paoli, en su obra citada: "La tutela jurídica contempla el agravio producido por la divulgación o publicación de lo observado, que evidentemente cosntituye una agravación del daño que de suyo produce cualquier intrusión".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nuestro derecho positivo, que posee un rango constitucional, la evolución de este derecho puede resumirse desde el “secreto” al “control” de la información que se tiene de uno mismo en los bancos de datos.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artículo 36 de la Constitución Nacional dispone: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patrimonio documental de las personas es inviolable. Los registros, cualquiera sea su técnica, los impresos, la correspondencia, los escritos, las comunicaciones telefónicas, telegráficas o de cualquier otra especie, las colecciones o reproducciones, los testimonios y los objetos de valor testimonial, así como sus respectivas copias, no podrán ser examinados, reproducidos, interceptados o secuestrados sino por orden judicial para casos específicamente previstos en la ley, y siempre que fuesen indispensables para el esclarecimiento de los asuntos de competencia de las correspondientes autoridades. La ley determinará modalidades especiales para el examen de la contabilidad comercial y de los registros legales obligatorios.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pruebas documentales obtenidas en violación o lo precripto anteriormente carecen de valor en juicio.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todos los casos se guardará estricta reserva sobre aquello que no haga relación con lo investigado".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este artículo podemos encontrar sustento legal para respaldar nuestra idea de la privacidad que debe haber en la Internet al decir "...las comunicaciones telefónicas, telegráficas o de cualquier otra especie...".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bien jurídico protegido por el derecho a la intimidad es el ámbito de la vida privada.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ANEXO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Directiva 1997/66/CE del Parlamento Europeo y del Consejo, de 15 de diciembre de 1997, relativa al tratamiento de los datos personales y a la protección de la intimidad en el sector de las telecomunicaciones.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Preámbulo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PARLAMENTO EUROPEO Y EL CONSEJO DE LA UNIÓN EUROPEA,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Visto el Tratado constitutivo de la Comunidad Europea y, en particular, su artículo 100 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Vista la propuesta de la Comisión (1),</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Visto el dictamen del Comité Económico y Social (2),</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De conformidad con el procedimiento establecido en el artículo 189 B del Tratado (3), a la vista del texto conjunto aprobado el 6 de noviembre de 1997 por el Comité de conciliación,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Considerando que la Directiva 95/46/CE del Parlamento Europeo y del Consejo, de 24 de octubre de 1995, relativa a la protección de las personas físicas en lo que respecta al tratamiento de los datos personales y a la libre circulación de estos datos (4) insta a los Estados miembros a garantizar los derechos y libertades de las personas físicas en lo que respecta al tratamiento de los datos personales y, en especial, su derecho a la intimidad, de forma que los datos personales puedan circular libremente en la Comunidad;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Considerando que la confidencialidad de las comunicaciones está garantizada de conformidad con los instrumentos internacionales relativos a los derechos humanos (especialmente el Convenio europeo para la protección de los derechos humanos y de las libertades fundamentales) y las constituciones de los Estados miembros;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Considerando que en la actualidad están apareciendo en la Comunidad Europea nuevas redes digitales públicas avanzadas de telecomunicación que crean necesidades específicas en materia de protección de datos personales y de la intimidad de los usuarios; que el desarrollo de la sociedad de la información se caracteriza por la introducción de nuevos servicios de telecomunicación; que el desarrollo transfronterizo de estos servicios, como el vídeo por pedido o la televisión interactiva, depende en parte de la confianza de los usuarios en que no se pondrá en peligro su intimidad;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(4) Considerando que esto está ocurriendo en especial con la introducción de la red digital de servicios integrados (RDSI) y las redes móviles digitales;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(5) Considerando que, en su Resolución, de 30 de junio de 1988, sobre el desarrollo del mercado común de los servicios y equipos de telecomunicación en el horizonte de 1992 (5), el Consejo preconizó la adopción de medidas de protección de los datos personales con objeto de crear un marco adecuado para el futuro desarrollo de las telecomunicaciones dentro de la Comunidad; que el Consejo volvió a subrayar la importancia de la protección de los datos personales y de la intimidad en su Resolución, de 18 de julio de 1989, sobre una mayor coordinación en la introducción de la Red Digital de Servicios Integrados (RDSI) en la Comunidad Europea para 1992 (6);</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(6) Considerando que el Parlamento Europeo subrayó la importancia de proteger los datos personales y la intimidad en las redes de telecomunicación, especialmente en relación con la introducción de la RDSI;</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(7) Considerando que, en el caso de las redes públicas de telecomunicación, deben elaborarse disposiciones legales, reglamentarias y técnicas específicas con objeto de proteger los derechos y libertades fundamentales de las personas físicas y los intereses legítimos de las personas jurídicas, en particular frente a los riesgos crecientes derivados del almacenamiento y el tratamiento informático de datos relativos a abonados y usuarios;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(8) Considerando que las disposiciones legales, reglamentarias y técnicas adoptadas por los Estados miembros para proteger los datos personales, la intimidad y los intereses legítimos de las personas jurídicas, en el sector de la telecomunicación, deben armonizarse a fin de evitar obstáculos para el mercado interior de las telecomunicaciones de conformidad con el objetivo establecido en el artículo 7 A del Tratado; que una armonización se limitará a los requisitos necesarios para garantizar que no se obstaculice la promoción y el desarrollo de nuevos servicios de telecomunicación y nuevas redes entre Estados miembros;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(9) Considerando que los Estados miembros, los proveedores y los usuarios afectados y las instancias comunitarias competentes deberían cooperar para el establecimiento y el desarrollo de las tecnologías pertinentes siempre que ello sea necesario para aplicar las garantías previstas por las disposiciones de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(10) Considerando que estos nuevos servicios incluyen la televisión interactiva y el vídeo por pedido;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(11) Considerando que en el sector de las telecomunicaciones se aplica la Directiva 95/46/CE, para todas las cuestiones relativas a la protección de los derechos y libertades fundamentales que no están cubiertas de forma </w:t>
            </w:r>
            <w:r w:rsidRPr="001B7F27">
              <w:rPr>
                <w:rFonts w:ascii="Arial" w:eastAsia="Times New Roman" w:hAnsi="Arial" w:cs="Arial"/>
                <w:color w:val="003399"/>
                <w:sz w:val="17"/>
                <w:szCs w:val="17"/>
                <w:lang w:eastAsia="es-AR"/>
              </w:rPr>
              <w:lastRenderedPageBreak/>
              <w:t>específica por las disposiciones de la presente Directiva, incluidas las obligaciones del controlador y los derechos de las personas; que la Directiva 95/46/CE se aplica a los servicios de telecomunicaciones que no están disponibles para el público;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(12) Considerando que la presente Directiva no aborda cuestiones en materia de protección de los derechos y libertades fundamentales relacionadas con actividades no regidas por la legislación comunitaria, de manera semejante a lo que dispone el artículo 3 de la Directiva 95/46/CE; que corresponde a los Estados miembros adoptar las medidas que consideren necesarias para la protección de la defensa de la seguridad pública, la seguridad del Estado (incluido el bienestar económico del Estado cuando las actividades tengan relación con asuntos de seguridad del Estado) y la aplicación del Derecho penal; que la presente Directiva no afectará a la capacidad de los Estados miembros a interceptar legalmente las telecomunicaciones para cualquiera de estos fines;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(13) Considerando que los abonados de un servicio público de telecomunicación pueden ser personas físicas o jurídicas; que las disposiciones de la presente Directiva están destinadas a proteger, como complemento de la Directiva 95/46/CE, los derechos fundamentales de las personas físicas y, en particular, su derecho a la intimidad, así como los intereses legítimos de las personas jurídicas; que dichas disposiciones no podrán en caso alguno conllevar una obligación por parte de los Estados miembros de extender la aplicación de la Directiva 95/46/CE a la protección de los intereses legítimos de las personas jurídicas; que dicha protección está garantizada en el marco de la legislación comunitaria y nacional aplicable;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(14) Considerando que la aplicación de determinadas exigencias relativas a la presentación y a la limitación de la identificación de la línea llamante y de la línea conectada y a la presentación automática a las líneas de abonado conectadas a centrales analógicas no debe ser obligatoria en aquellos casos particulares en los que dicha aplicación resulte imposible técnicamente, o en los que requiera un esfuerzo económico desproporcionado; que es importante que las partes interesadas sean informadas de dichos casos, y que los Estados miembros deben notificarlos a la Comisión;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(15) Considerando que los proveedores de servicios deben tomar las medidas adecuadas para salvaguardar la seguridad de sus servicios, en su caso en conjunción con el proveedor de la red, e informar a los abonados de todo riesgo concreto de violación de la seguridad de la red; que la seguridad se valora a la luz de lo dispuesto en el artículo 17 de la Directiva 95/46/CE;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(16) Considerando que deben adoptarse medidas para evitar el acceso no autorizado a las comunicaciones a fin de proteger la confidencialidad de las mismas por medio de las redes públicas de telecomunicaciones y de servicios de telecomunicaciones a disposición pública; que la legislación nacional de algunos Estados miembros prohibe solamente el acceso intencionado no autorizado a las comunicaciones;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(17) Considerando que los datos relativos a los abonados utilizados para el establecimiento de llamadas contienen información sobre la vida privada de las personas físicas y atañen a su derecho de respeto a la correspondencia, o afectan a los intereses legítimos de las personas jurídicas; que dichos datos sólo podrán almacenarse en la medida en que resulten necesarios para la prestación del servicio, para fines de facturación y para los pagos de interconexión, durante un período limitado; que cualquier tratamiento que el proveedor del servicio público de telecomunicación pretenda llevar a cabo para la prospección de sus propios servicios de telecomunicaciones sólo puede permitirse si el abonado ha manifestado su acuerdo sobre la base de una información plena y exacta facilitada por el proveedor de servicios públicos de telecomunicaciones acerca del tipo de tratamiento que pretende llevar a cabo;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(18) Considerando que la introducción de facturas desglosadas ha mejorado las posibilidades para que el abonado pueda verificar que las tarifas aplicadas por el proveedor del servicio son correctas y que, al mismo tiempo, puede poner en peligro la intimidad de los usuarios de servicios públicos de telecomunicaciones; que por consiguiente, a fin de proteger la intimidad de los usuarios, los Estados miembros deben fomentar el desarrollo de opciones de servicios de telecomunicaciones, como posibilidades de pago que permitan el acceso anónimo o estrictamente privado a través del pago con tarjetas de crédito; considerando que los Estados miembros también podrán exigir, con el mismo fin, que se suprima un determinado número de cifras de los números a los que se haya llamado y mencionados en las facturas desglosadas;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(19) Considerando que es necesario, por lo que respecta a la identificación del número de la línea llamante, proteger el derecho del interlocutor que efectúa la llamada a reservarse la identificación de la línea desde la que realiza dicha llamada y el derecho del interlocutor llamado a rechazar llamadas de líneas no identificadas; que está justificado anular la eliminación de la presentación de la identificación de la línea llamante en casos particulares; que determinados abonados, en particular las líneas de auxilio y otras organizaciones similares, tienen interés en garantizar el anonimato de sus interlocutores; que es necesario, por lo que respecta a la identificación de la línea conectada, proteger el derecho y el interés legítimos de la persona llamada a impedir la presentación de la </w:t>
            </w:r>
            <w:r w:rsidRPr="001B7F27">
              <w:rPr>
                <w:rFonts w:ascii="Arial" w:eastAsia="Times New Roman" w:hAnsi="Arial" w:cs="Arial"/>
                <w:color w:val="003399"/>
                <w:sz w:val="17"/>
                <w:szCs w:val="17"/>
                <w:lang w:eastAsia="es-AR"/>
              </w:rPr>
              <w:lastRenderedPageBreak/>
              <w:t>identificación de la línea a la que la persona que llama está conectada realmente, en particular en el caso de los servicios de desvío de llamadas; que los proveedores de los servicios públicos de telecomunicaciones debe informar a sus abonados de la existencia de la identificación de líneas llamantes y conectadas en la red y de todos los servicios ofrecidos sobre la base de la identificación de las líneas llamantes y conectadas y sobre las opciones de confidencialidad disponibles; que esto permitirá a los abonados llevar a cabo una elección informada sobre las posibilidades de confidencialidad que deseen utilizar; que las opciones de confidencialidad ofrecidas caso por caso no tienen que estar disponibles necesariamente como servicio de la red automática, pero pueden obtenerse mediante simple solicitud al proveedor del servicio público de telecomunicaciones;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(20) Considerando que deben ofrecerse garantías a los abonados contra las molestias que puedan causar las llamadas desviadas automáticamente por otros; que en tales casos los abonados deben poder detener las llamadas desviadas hacia sus terminales mediante simple solicitud al proveedor de servicios públicos de telecomunicaciones;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(21) Considerando que las guías son ampliamente divulgadas y accesibles al público; que el derecho a la intimidad de las personas físicas y el interés legítimo de las personas jurídicas exigen que los abonados puedan decidir en qué medida se publican sus datos personales en dichas guías; que los Estados miembros podrán reservar esta posibilidad a los abonados que son personas físicas;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(22) Considerando que deben ofrecerse garantías a los abonados contra la intrusión en su intimidad mediante llamadas no solicitadas y por fax; que los Estados miembros podrán reservar estas protecciones a los abonados que son personas físicas;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(23) Considerando que debe garantizarse la armonización en la introducción de características técnicas de equipos de telecomunicación para la protección de datos, a fin de que sea compatible con la realización del mercado interior;</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(24) Considerando, en particular, y de forma similar a lo establecido en el artículo 13 de la Directiva 95/46/CE, que los Estados miembros pueden restringir el ámbito de las obligaciones y los derechos de los abonados en determinadas circunstancias, por ejemplo, garantizando que el proveedor del servicio público de telecomunicaciones podrá anular la eliminación de la presentación de la identificación de la línea llamante de conformidad con la legislación nacional a efecto de evitar o detectar delitos o por razones de seguridad del Estado;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(25) Considerando que, en los casos en que no se respeten los derechos de los usuarios y abonados, el Derecho nacional debe prever vías de recurso judiciales; que deben imponerse sanciones a aquellas personas, ya sean de derecho público o privado, que incumplan las medidas nacionales adoptadas en virtud de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(26) Considerando que resulta útil en el ámbito de aplicación de la presente Directiva aprovechar las experiencias del Grupo de protección de las personas en lo que respecta al tratamiento de datos personales, formado por representantes de las autoridades competentes de los Estados miembros, creado por el artículo 29 de la Directiva 95/46/CE;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(27) Considerando que, en vista de los desarrollos tecnológicos y de la evolución que se espera de los servicios ofrecidos, será necesario especificar técnicamente las categorías de datos enumeradas en el anexo de la presente Directiva para la aplicación de su artículo 6, con la asistencia del Comité formado por representantes de los Estados miembros y creado por el artículo 31 de la Directiva 95/46/CE, a fin de garantizar una aplicación coherente de los requisitos que establece la presente Directiva, independientemente de los cambios de la tecnología; que este procedimiento se aplicará únicamente a las especificaciones necesarias para adaptar el anexo a nuevos avances tecnológicos teniendo en cuenta los cambios en la demanda del mercado y de los consumidores; que la Comisión deberá informar debidamente al Parlamento Europeo de su intención de aplicar este procedimiento; que en cualquier otro caso se aplicará el procedimiento establecido en el artículo 100 A del Tratado;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(28) Considerando que, para facilitar el cumplimiento de lo dispuesto en la presente Directiva, son necesarias determinadas disposiciones particulares para el tratamiento de datos ya iniciado en la fecha en que entre en vigor la legislación nacional de aplicación de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HAN ADOPTADO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Articulado: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 Objeto y ámbito de aplicación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1. La presente Directiva establece la armonización de las disposiciones de los Estados miembros necesarias para garantizar un nivel equivalente de protección de las libertades y de los derechos fundamentales y, en particular, del derecho a la intimidad, en lo que respecta al tratamiento de los datos personales en el sector de las telecomunicaciones, así como la libre circulación de tales datos y de los equipos y servicios de telecomunicación en la Comunidad.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A los efectos mencionados en el apartado 1, las disposiciones de la presente Directiva especificarán y completarán la Directiva 95/46/CE. Además, protegerán los intereses legítimos de los abonados que sean personas jurídicas.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3. La presente Directiva no se aplicará a las actividades no comprendidas en el ámbito de aplicación del Derecho comunitario, como las previstas por las disposiciones de los títulos V y VI del Tratado de la Unión Europea y, en cualquier caso, a las actividades que tengan por objeto la seguridad pública, la defensa, la seguridad del Estado (incluido el bienestar económico del Estado cuando dichas actividades estén relacionadas con la seguridad del Estado) y a las actividades del Estado en materia penal.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Artículo 2: Definiciones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 los efectos de la presente Directiva y además de las definiciones recogidas en la Directiva 95/46/CE, se entenderá por:</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 «abonado»: la persona física o jurídica que sea parte en un contrato con el proveedor en un servicio público de telecomunicaciones para la prestación de tales servicios;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b) «usuario»: la persona que utiliza un servicio público de telecomunicación con fines privados o comerciales, aunque no haya contratado dicho servicio;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 «red pública de telecomunicación»: los sistemas de transmisión y, cuando proceda, los equipos de conmutación y otros recursos que permiten la transmisión de señales entre puntos de terminación definidos por cable, por medios radioeléctricos, por medios ópticos o por otros medios electromagnéticos que se utilizan, total o parcialmente, para la prestación de servicios públicos de telecomunicación;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 «servicio de telecomunicación»: un servicio cuya prestación consiste total o parcialmente en la transmisión y el envío de señales a través de redes de telecomunicación, excepción hecha de la radiodifusión sonora y de la televisión.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3: Servicios regulados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La presente Directiva se aplicará al tratamiento de datos personales en relación con la prestación de servicios públicos de telecomunicación en las redes públicas de telecomunicación en la Comunidad y, especialmente, a través de la red digital de servicios integrados (RDSI) y las redes móviles digitales públicas.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Los artículos 8, 9 y 10 se aplicarán a las líneas de abonado conectadas a centrales digitales y, siempre y cuando sea técnicamente posible y no exija un esfuerzo económico desproporcionado, a las líneas de abonado conectadas a centrales analógicas.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Los Estados miembros notificarán a la Comisión aquellos casos en los que no sea posible técnicamente cumplir los requisitos de los artículos 8, 9 y 10, o que exijan una inversión desproporcionada para ello.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4: Seguridad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El proveedor de un servicio público de telecomunicación deberá adoptar las medidas técnicas y de gestión adecuadas para preservar la seguridad de sus servicios, de ser necesario en colaboración con el proveedor de la red pública de telecomunicación por lo que respecta a la seguridad de la red. Considerando las técnicas más avanzadas y el coste de su aplicación, dichas medidas garantizarán un nivel de seguridad adecuado para el riesgo existente.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2. En caso de que exista un riesgo concreto de violación de la seguridad de la red, el proveedor de un servicio público de telecomunicación deberá informar a los abonados sobre dicho riesgo y sobre las posibles soluciones, </w:t>
            </w:r>
            <w:r w:rsidRPr="001B7F27">
              <w:rPr>
                <w:rFonts w:ascii="Arial" w:eastAsia="Times New Roman" w:hAnsi="Arial" w:cs="Arial"/>
                <w:color w:val="003399"/>
                <w:sz w:val="17"/>
                <w:szCs w:val="17"/>
                <w:lang w:eastAsia="es-AR"/>
              </w:rPr>
              <w:lastRenderedPageBreak/>
              <w:t>incluidos los costes necesarios.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5: Confidencialidad de las comunicaciones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Los Estados miembros garantizarán, mediante normas nacionales, la confidencialidad de las comunicaciones realizadas a través de las redes públicas de telecomunicación y de los servicios de telecomunicación accesibles al público. En particular, prohibirán la escucha, la grabación, el almacenamiento u otros tipos de interceptación o vigilancia de las comunicaciones por personas distintas de los usuarios, sin el consentimiento de los usuarios interesados, salvo cuando esté autorizada legalmente, de conformidad con el apartado 1 del artículo 14.</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2. El apartado 1 no se aplicará a las grabaciones legalmente autorizadas de comunicaciones en el marco de una práctica comercial lícita destinada a aportar pruebas de una transacción comercial o de cualquier otra comunicación comercial.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6: Tráfico y facturación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Sin perjuicio de lo dispuesto en los apartados 2, 3 y 4, los datos sobre tráfico relacionados con los usuarios y abonados tratados para establecer comunicaciones y almacenados por el proveedor de una red o servicio público de telecomunicación deberán destruirse o hacerse anónimos en cuanto termine la comunicación.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A los efectos de la facturación de los usuarios y de los pagos de las interconexiones, podrán ser tratados los datos indicados en el anexo. Se autorizará este tratamiento únicamente hasta la expiración del plazo durante el cual pueda impugnarse legalmente la factura o exigirse el pago.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El proveedor de un servicio público de telecomunicación podrá tratar los datos a que se hace referencia en el apartado 2 para la promoción comercial de sus propios servicios de telecomunicación siempre y cuando el abonado haya dado su consentimiento.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4. El tratamiento de los datos de tráfico y facturación deberá limitarse a las personas que actúen bajo las órdenes del proveedor de la red o del servicio público de telecomunicación que se ocupe de la gestión de la facturación o del tráfico, de las solicitudes de información de los clientes y de la detección de fraudes y promoción comercial de los propios servicios del proveedor, y deberá limitarse a lo necesario para realizar tales actividades.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5. Los apartados 1, 2, 3 y 4 se aplicarán sin perjuicio de la posibilidad de que las autoridades competentes sean informadas de los datos sobre facturación o tráfico con arreglo a la legislación aplicable, con vistas a resolver litigios, en particular los litigios relativos a la interconexión o a la facturación.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7: Facturación desglosada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Los abonados tendrán el derecho a recibir facturas no desglosadas.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Los Estados miembros aplicarán las disposiciones nacionales a fin de reconciliar los derechos de los abonados que reciban facturas desglosadas con el derecho a la intimidad de los usuarios que efectúen llamadas y de los abonados que reciban llamadas, por ejemplo, garantizando que dichos usuarios y abonados dispongan de suficientes otras modalidades de comunicación o de pago.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8: Presentación y limitación de la identificación de la línea llamante y conectada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Cuando se ofrezca la posibilidad de presentar la identificación de la líneas llamante, el usuario que origine la llamada deberá poder suprimir en cada llamada, mediante un procedimiento sencillo y gratuito, la identificación de la línea llamante. El abonado que origine la llamada deberá tener esta posibilidad por línea.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Cuando se ofrezca la posibilidad de presentar la identificación de la línea llamante, el abonado que reciba la llamada deberá tener la posibilidad, mediante un procedimiento sencillo y gratuito siempre que haga un uso correcto de esta función, de impedir la presentación de la identificación de la línea llamante en las llamadas entrantes.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3. Cuando se ofrezca la posibilidad de presentar la identificación de la línea llamante y ésta se presente con anterioridad a que se establezca la llamada, el abonado que reciba la llamada deberá tener la posibilidad, mediante un procedimiento sencillo, de rechazar las llamadas entrantes procedentes de usuarios o abonados que hayan </w:t>
            </w:r>
            <w:r w:rsidRPr="001B7F27">
              <w:rPr>
                <w:rFonts w:ascii="Arial" w:eastAsia="Times New Roman" w:hAnsi="Arial" w:cs="Arial"/>
                <w:color w:val="003399"/>
                <w:sz w:val="17"/>
                <w:szCs w:val="17"/>
                <w:lang w:eastAsia="es-AR"/>
              </w:rPr>
              <w:lastRenderedPageBreak/>
              <w:t>suprimido la presentación de la identificación de la línea que origina la llamada.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4. Cuando se ofrezca la posibilidad de presentar la identificación de la línea conectada, el abonado que reciba la llamada deberá tener la posibilidad, por un procedimiento sencillo y gratuito, de suprimir la presentación de la identificación de la línea conectada a la parte llamante.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5. Las disposiciones establecidas en el apartado 1 se aplicarán también a las llamadas efectuadas desde la Comunidad a terceros países; las disposiciones establecidas en los apartados 2, 3 y 4 se aplicarán también a las llamadas entrantes procedentes de terceros países.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6. Los Estados miembros velarán por que, cuando se ofrezca la posibilidad de presentar la identificación de la línea llamante o de la línea conectada, los proveedores de servicios públicos de telecomunicaciones informen al público sobre dicha posibilidad y sobre las que se establecen en los apartados 1, 2, 3 y 4.</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9: Excepciones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Estados miembros velarán por que existan procedimientos transparentes que determinen la forma en que el proveedor de una red pública de telecomunicación y/o de un servicio de telecomunicación accesible al público puede anular la supresión de la presentación de la identificación de la línea llamante: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 por un período de tiempo limitado, a instancia del abonado que solicite la identificación de llamadas maliciosas o molestas; en tal caso, los datos que incluyan la identificación del abonado que origina la llamada serán almacenados y puestos a disposición por el proveedor de la red pública de telecomunicación o del servicio público de telecomunicación, de acuerdo con el Derecho nacional;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b) por línea, para las entidades reconocidas por un Estado miembro que atiendan las llamadas de urgencia, incluidos los cuerpos de policía, los servicios de ambulancia y los cuerpos de bomberos, para que puedan responder a tales llamadas.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10: Desvío automático de llamadas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Estados miembros velarán por que se ofrezca a todo abonado, por un procedimiento sencillo y gratuito, la posibilidad de poner fin al desvío automático de llamadas a su terminal por parte de un tercero.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11: Guías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Los datos personales recogidos en las guías impresas o electrónicas accesibles al público o que pueden obtenerse a través de servicios de información deberán limitarse a lo estrictamente necesario para identificar a un abonado concreto, a menos que el abonado haya dado su consentimiento inequívoco para que se publiquen otros datos personales. El abonado tendrá derecho, de forma gratuita, a que se le excluya de una guía impresa o electrónica a petición propia, a indicar que sus datos personales no se utilicen para fines de venta directa, a que se omita parcialmente su dirección y a que no exista referencia que revele su sexo, cuando ello sea aplicable lingüísticamente.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Sin perjuicio de lo dispuesto en el apartado 1, los Estados miembros podrán permitir a los operadores exigir un pago a los abonados que deseen hacer que sus datos personales no figuren en una guía, siempre que la cantidad en cuestión no sea disuasoria del ejercicio de este derecho y siempre que, teniendo en cuenta las exigencias de calidad de la guía pública respecto del servicio universal, dicha cantidad se limite a los costes reales ocasionados al operador por la adaptación y actualización de la lista de abonados que no hayan de incluirse en la guía pública.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Los derechos conferidos en virtud del apartado 1 se aplicarán a los abonados que sean personas físicas. Los Estados miembros garantizarán asimismo, en el marco del Derecho comunitario y de las legislaciones nacionales aplicables, la suficiente protección de los intereses legítimos de los abonados que no sean personas físicas en lo que se refiere a su inclusión en guías públicas.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12: Llamadas no solicitadas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 La utilización de sistemas de llamada automática sin intervención humana (aparatos de llamada automática) o facsímil (fax) con fines de venta directa sólo se podrán autorizar respecto de aquellos abonados que hayan dado su </w:t>
            </w:r>
            <w:r w:rsidRPr="001B7F27">
              <w:rPr>
                <w:rFonts w:ascii="Arial" w:eastAsia="Times New Roman" w:hAnsi="Arial" w:cs="Arial"/>
                <w:color w:val="003399"/>
                <w:sz w:val="17"/>
                <w:szCs w:val="17"/>
                <w:lang w:eastAsia="es-AR"/>
              </w:rPr>
              <w:lastRenderedPageBreak/>
              <w:t>consentimiento previo.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Los Estados miembros tomarán las medidas adecuadas para garantizar, gratuitamente, que no se permitan las llamadas no solicitadas con fines de venta directa por medios que no sean los mencionados en el apartado 1 sin el consentimiento de los abonados de que se trate o respecto de los abonados que no deseen recibir dichas llamadas. La elección entre estas posibilidades será la que determine la legislación nacional.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Los derechos conferidos en virtud de los apartados 1 y 2 se aplicarán a los abonados que sean personas físicas. Los Estados miembros garantizarán asimismo, en el marco del Derecho comunitario y de las legislaciones nacionales aplicables, la suficiente protección de los intereses legítimos de los abonados que no sean personas físicas en lo que se refiere a llamadas no solicitadas.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13: Características técnicas y normalización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Al aplicar las disposiciones de la presente Directiva, los Estados miembros velarán, con arreglo a los apartados 2 y 3, por que no se impongan exigencias obligatorias respecto de características técnicas específicas relativas a las terminales u otros equipos de telecomunicaciones que puedan obstaculizar la colocación del equipo en el mercado y la libre circulación de dichos equipos en los Estados miembros y entre estos últimos.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Cuando las disposiciones de la presente Directiva sólo puedan aplicarse mediante la implantación de características técnicas específicas, los Estados miembros informarán a la Comisión de conformidad con los procedimientos establecidos en la Directiva 83/189/CEE del Consejo, de 28 de marzo de 1983, por la que se establece un procedimiento de información en materia de las normas y reglamentaciones técnicas (7).</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Cuando proceda, la Comisión garantizará la elaboración de normas europeas comunes para la aplicación de las características técnicas específicas, de conformidad con la legislación comunitaria en materia de aproximación de la legislación de los Estados miembros relativa al equipo terminal de telecomunicaciones, incluido el reconocimiento mutuo de su conformidad, y con la Decisión 87/95/CEE del Consejo, de 22 de diciembre de 1986, relativa a la normalización en el campo de la tecnología de la información y de las telecomunicaciones (8).</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14: Extensión del ámbito de aplicación de determinadas disposiciones de la Directiva 95/46/CE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Los Estados miembros podrán adoptar medidas legales para limitar el alcance de las obligaciones y derechos que se establecen en los artículos 5 y 6 y en los apartados 1, 2, 3 y 4 del artículo 8, cuando dichas limitaciones constituyan una medida necesaria para proteger la seguridad nacional, la defensa, la seguridad pública, la prevención, la investigación, la detección y la persecución de delitos o la utilización no autorizada del sistema de telecomunicación a que se hace referencia en el apartado 1 del artículo 13 de la Directiva 95/46/CE.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Las disposiciones del capítulo III sobre recursos judiciales, responsabilidad y sanciones de la Directiva 95/46/CE se aplicarán a las disposiciones de Derecho nacional adoptadas con arreglo a la presente Directiva y relativas a los derechos individuales derivados de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El Grupo de protección de las personas en lo que respecta al tratamiento de datos personales establecido con arreglo al artículo 29 de la Directiva 95/46/CE ejercerá las funciones especificadas en el artículo 30 de la citada Directiva también por lo que se refiere a la protección de los derechos y libertades fundamentales y de los intereses legítimos en el sector de las telecomunicaciones, que son objeto de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4. La Comisión, asistida por el Comité creado por el artículo 31 de la Directiva 95/46/CE, procederá a la adaptación técnica del anexo con arreglo al procedimiento mencionado en el presente artículo. Dicho Comité se reunirá específicamente para tratar de las cuestiones cubiertas por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15: Aplicación de la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Los Estados miembros pondrán en vigor las disposiciones legales, reglamentarias y administrativas necesarias para dar cumplimiento a lo establecido en la presente Directiva a más tardar el 24 de octubre de 1998.</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No obstante lo dispuesto en el párrafo primero, los Estados miembros pondrán en vigor las disposiciones legales, reglamentarias y administrativas necesarias para dar cumplimiento al artículo 5 de la presente Directiva a más tardar el 24 de octubre de 2000. Cuando los Estados miembros adopten dichas disposiciones, éstas harán referencia a la presente Directiva o irán acompañadas de dicha referencia en su publicación oficial. Los Estados miembros </w:t>
            </w:r>
            <w:r w:rsidRPr="001B7F27">
              <w:rPr>
                <w:rFonts w:ascii="Arial" w:eastAsia="Times New Roman" w:hAnsi="Arial" w:cs="Arial"/>
                <w:color w:val="003399"/>
                <w:sz w:val="17"/>
                <w:szCs w:val="17"/>
                <w:lang w:eastAsia="es-AR"/>
              </w:rPr>
              <w:lastRenderedPageBreak/>
              <w:t>establecerán las modalidades de la mencionada referencia.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No obstante lo dispuesto en el apartado 3 del artículo 6, no será necesario el consentimiento respecto al tratamiento en curso el día de entrada en vigor de las disposiciones nacionales adoptadas con arreglo a la presente Directiva. En tales casos se informará a los abonados sobre este tratamiento y, si no expresan su reprobación en un período que determinará el Estado miembro, se considerará que han dado su consentimiento.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3. El artículo 11 no se aplicará a las guías que se hayan publicado antes de que entren en vigor las disposiciones nacionales adoptadas con arreglo a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4. Los Estados miembros comunicarán a la Comisión el texto de las disposiciones de Derecho nacional que adopten en el ámbito regulado por la presente Directiva.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Artículo 16: Destinatarios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destinatarios de la presente Directiva serán los Estados miembros.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Hecho en Bruselas, el 15 de diciembre de 1997.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el Parlamento Europeo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Presidente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J. M. GIL-ROBLES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el Consejo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Presidente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J.-C. JUNCKER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Notas y Anexo: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 los efectos a que se hace mención en el apartado 2 del artículo 6, podrán procesarse los siguientes datos que incluyan: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número o la identificación de la estación del abonado,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dirección del abonado y el tipo de estación,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número total de unidades que deben facturarse durante el ejercicio contable,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número del abonado que recibe la llamada,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tipo, la hora de comienzo y la duración de las llamadas realizadas o el volumen de datos transmitido,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fecha de la llamada o del servicio,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otros datos relativos a los pagos, tales como pago anticipado, pagos a plazos, desconexión y notificaciones de recibos pendientes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 CONSULTADA: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Nacional: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Constitución Nacional 1992</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Ley 1682/2001</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Que reglamenta la información de carácter privado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Hábeas Data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Francisco Bazán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Revista de Derecho y Jurisprudencia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1999</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Derecho de Información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Juan Bautista Rivarola Paoli</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Intercontinental Editora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Nuevas Instituciones de la Constitución Nacional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José A. Moreno Ruffinelli</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Intercontinental Editora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Internacional: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Uicich Rodolfo Daniel "Los Bancos de Datos y el Derecho a la Intimidad", Editorial Ad-Hoc 1999.</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ALFA-REDI: Revista de Derecho Informático.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Quispe Merovich “El hábeas data y los sistemas de información”. L.L. (Bs As), 1996. p. 1056-1060.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Lloveras de Resk, " La intrusión a la Intimidad a través de la Informática" , J.A. 1989-II-918.</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Campanella - Stodart, " Derecho a la intimidad e Informática", L.L., 1984-B-668.</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Riquet, " Nuevas Tecnologías, ataques a la privacidad y sus repercusiones penales", L.L. 1999-E-70.</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Cifuentes, "Los datos personales informáticos, un derecho autónomo personalísimo", J.A. 1994-IV- 835.</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Guibourg - Alende- Campanella, " Manual de informática jurídica", Ed. Astrea, 1996, p. 262.</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Altmark-Molina Quiroga, "Régimen Jurídico de los Bancos de Datos", pag. 50.</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Cafferata, Juan Carlos. La acción de Hábeas data. La Ley Córdoba 1996, pag. 313.</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Fourcade-Bergoglio-Lloveras, en: "Lek. de Derecho Civil", Córdoba, Ed. Bereber S.R.L., 1987, p.87.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Alpa Guido:"Privacy e statuto dell´informazione" "Rivista de Diritto Civile", Anno XXV, n.1, p.72.</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Bidart Campos, Germán, en "La informática y el derecho de la intimidad", ED, 107-921.</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Rivera Julio, "Instituciones del Derecho Civil" nº 775 y 785, Abeledo Perrot, Bs As, 1993, págs. 99 y 116, Carlos Paladella Salord. "Datos Personales contenidos en Bases de Datos y Registros Electrónicos".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Díaz Molina, "El derecho a la vida privada", LL. Tomo 126.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Pallazi, Pablo. "El Habeas data en la Constitución Nacional". JA 1995-IV. Pág. 715.</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Bustamante Alsina, "La Informática y la Responsabilidad Civil". LL. Tomo 1987-B. pág. 892.</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Antik - Ramunno, “Habeas Data”, LL 2000-B-1164.</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Davara Rodríguez, “Derecho Informático” Aranzadi Editorial, 1993 Pamplona - España, Pág. 45.</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6"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7" w:name="17"/>
            <w:bookmarkEnd w:id="17"/>
            <w:r w:rsidRPr="001B7F27">
              <w:rPr>
                <w:rFonts w:ascii="Arial" w:eastAsia="Times New Roman" w:hAnsi="Arial" w:cs="Arial"/>
                <w:b/>
                <w:bCs/>
                <w:color w:val="009933"/>
                <w:sz w:val="20"/>
                <w:szCs w:val="20"/>
                <w:lang w:eastAsia="es-AR"/>
              </w:rPr>
              <w:t>"El Notario como autoridad certificante: Con especial referencia a la Contratación Electrónica"</w:t>
            </w:r>
            <w:r w:rsidRPr="001B7F27">
              <w:rPr>
                <w:rFonts w:ascii="Arial" w:eastAsia="Times New Roman" w:hAnsi="Arial" w:cs="Arial"/>
                <w:color w:val="003399"/>
                <w:sz w:val="17"/>
                <w:szCs w:val="17"/>
                <w:lang w:eastAsia="es-AR"/>
              </w:rPr>
              <w:br/>
              <w:t>Rosa Elena Di Martino Ortiz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Civil y Comercial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7"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SUMARIO: 1. Introducción.- 2. Internet: génesis y evolución.- 3. Contratación electrónica: riesgos y necesidades.- 4. Contratación electrónica: ámbito de aplicación.- 5. Contratación electrónica: otros aspectos jurídicos a ser considerados.- 6. El funcionamiento de la firma electrónica.- 7. Los prestadores de servicios de certificación.- 8. Contratación electrónica y Notariado.- 9. Funciones concretas del Notariado en la contratación electrónica.-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ciberespacio es un mundo virtual en el que los defectos, las miserias y los malos hábitos del ser humano se reproducen con la misma fidelidad que las virtudes (Javier Ribas Alejandro)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Introducción</w:t>
            </w:r>
            <w:r w:rsidRPr="001B7F27">
              <w:rPr>
                <w:rFonts w:ascii="Arial" w:eastAsia="Times New Roman" w:hAnsi="Arial" w:cs="Arial"/>
                <w:color w:val="003399"/>
                <w:sz w:val="17"/>
                <w:szCs w:val="17"/>
                <w:lang w:eastAsia="es-AR"/>
              </w:rPr>
              <w:br/>
              <w:t>La globalización de las comunicaciones ha traído, como consecuencia, la utilización de redes telemáticas y, en especial, de la red de redes, INTERNET, que permite a las personas interconectarse con otras que se encuentran muy distantes del punto de conexión. Todo este proceso desemboca en una globalización y uno de los mecanismos a través del que se pretende conseguir dicha globalización, es lo que se ha denominado Sociedad de la Información. La red es Internet y, en realidad, no es una única estructura, sino un conjunto interconectado de miles de redes abiertas, también conocida con el nombre de autopista de la información.</w:t>
            </w:r>
            <w:r w:rsidRPr="001B7F27">
              <w:rPr>
                <w:rFonts w:ascii="Arial" w:eastAsia="Times New Roman" w:hAnsi="Arial" w:cs="Arial"/>
                <w:color w:val="003399"/>
                <w:sz w:val="17"/>
                <w:szCs w:val="17"/>
                <w:lang w:eastAsia="es-AR"/>
              </w:rPr>
              <w:br/>
              <w:t>Los servicios de la sociedad de la información se prestan, en gran medida, a través del comercio electrónico, que utiliza en ocasiones el mecanismo de la firma electrónica; miles de millones de dólares se encuentran en juego, a la espera de ser aprovechados por los que primero o de mejor manera sepan advertir y manejar la situación.</w:t>
            </w:r>
            <w:r w:rsidRPr="001B7F27">
              <w:rPr>
                <w:rFonts w:ascii="Arial" w:eastAsia="Times New Roman" w:hAnsi="Arial" w:cs="Arial"/>
                <w:color w:val="003399"/>
                <w:sz w:val="17"/>
                <w:szCs w:val="17"/>
                <w:lang w:eastAsia="es-AR"/>
              </w:rPr>
              <w:br/>
              <w:t>El comercio electrónico, se está consolidando en el mundo entero gracias a la implantación definitiva de protocolos que garantizan la seguridad de las transacciones y el incremento progresivo de usuarios de la red.</w:t>
            </w:r>
            <w:r w:rsidRPr="001B7F27">
              <w:rPr>
                <w:rFonts w:ascii="Arial" w:eastAsia="Times New Roman" w:hAnsi="Arial" w:cs="Arial"/>
                <w:color w:val="003399"/>
                <w:sz w:val="17"/>
                <w:szCs w:val="17"/>
                <w:lang w:eastAsia="es-AR"/>
              </w:rPr>
              <w:br/>
              <w:t>El hecho de que el comercio electrónico en Internet vaya dirigido prioritariamente al consumo, obliga a tener en cuenta los aspectos jurídicos de la transacción, tanto en la fase de preparación de la oferta, como en la de aceptación.</w:t>
            </w:r>
            <w:r w:rsidRPr="001B7F27">
              <w:rPr>
                <w:rFonts w:ascii="Arial" w:eastAsia="Times New Roman" w:hAnsi="Arial" w:cs="Arial"/>
                <w:color w:val="003399"/>
                <w:sz w:val="17"/>
                <w:szCs w:val="17"/>
                <w:lang w:eastAsia="es-AR"/>
              </w:rPr>
              <w:br/>
              <w:t xml:space="preserve">Las razones que impulsan a un usuario a permanecer en una página web no son únicamente la utilidad y el interés de sus contenidos, sino también el atractivo de sus gráficos y el nivel de sorpresa que suscita cada sección. Ello </w:t>
            </w:r>
            <w:r w:rsidRPr="001B7F27">
              <w:rPr>
                <w:rFonts w:ascii="Arial" w:eastAsia="Times New Roman" w:hAnsi="Arial" w:cs="Arial"/>
                <w:color w:val="003399"/>
                <w:sz w:val="17"/>
                <w:szCs w:val="17"/>
                <w:lang w:eastAsia="es-AR"/>
              </w:rPr>
              <w:lastRenderedPageBreak/>
              <w:t>conlleva un esfuerzo creativo que debe ser convenientemente protegido mediante técnicas habituales del Derecho de Autor y de la Propiedad Industrial.</w:t>
            </w:r>
            <w:r w:rsidRPr="001B7F27">
              <w:rPr>
                <w:rFonts w:ascii="Arial" w:eastAsia="Times New Roman" w:hAnsi="Arial" w:cs="Arial"/>
                <w:color w:val="003399"/>
                <w:sz w:val="17"/>
                <w:szCs w:val="17"/>
                <w:lang w:eastAsia="es-AR"/>
              </w:rPr>
              <w:br/>
              <w:t>Por otra parte, deben cuidarse el contenido del contrato on line, la adecuación de sus cláusulas a las especiales características de la contratación electrónica y la forma en que se efectúa la transacción, con el fin de demostrar que el usuario ha prestado su consentimiento a las condiciones de la oferta. La concurrencia de oferta y aceptación, pago y entrega, puede producirse en tiempo real o de forma diferida. El software, por ejemplo, que constituye el producto más vendido a través de Internet, puede ser transferido mediante ambas modalidades. A través de una transacción en tiempo real, el usuario efectúa una descarga del programa, tras completar el formulario de pedido en un entorno seguro. En el caso de la transacción con entrega diferida, el usuario recibe el programa en soporte físico, a través de los sistemas de envío convencionales. En otros casos, el cliente obtiene una licencia de uso temporal o una versión limitada que, tras efectuar el pago, será plenamente operativa.</w:t>
            </w:r>
            <w:r w:rsidRPr="001B7F27">
              <w:rPr>
                <w:rFonts w:ascii="Arial" w:eastAsia="Times New Roman" w:hAnsi="Arial" w:cs="Arial"/>
                <w:color w:val="003399"/>
                <w:sz w:val="17"/>
                <w:szCs w:val="17"/>
                <w:lang w:eastAsia="es-AR"/>
              </w:rPr>
              <w:br/>
              <w:t>No obstante, no todas las transacciones podrán basarse exclusivamente en medios electrónicos: algunas operaciones financieras, los negocios que deban formalizarse en instrumentos públicos y la contratación de seguros de vida o médicos, que contengan datos relativos a la salud, exigirán la firma original del usuario. Esta circunstancia obliga a dedicar nuestra atención a los obstáculos y barreras naturales que se interponen a la total consolidación del comercio electrónico.</w:t>
            </w:r>
            <w:r w:rsidRPr="001B7F27">
              <w:rPr>
                <w:rFonts w:ascii="Arial" w:eastAsia="Times New Roman" w:hAnsi="Arial" w:cs="Arial"/>
                <w:color w:val="003399"/>
                <w:sz w:val="17"/>
                <w:szCs w:val="17"/>
                <w:lang w:eastAsia="es-AR"/>
              </w:rPr>
              <w:br/>
              <w:t>Internet: génesis y evolución</w:t>
            </w:r>
            <w:r w:rsidRPr="001B7F27">
              <w:rPr>
                <w:rFonts w:ascii="Arial" w:eastAsia="Times New Roman" w:hAnsi="Arial" w:cs="Arial"/>
                <w:color w:val="003399"/>
                <w:sz w:val="17"/>
                <w:szCs w:val="17"/>
                <w:lang w:eastAsia="es-AR"/>
              </w:rPr>
              <w:br/>
              <w:t>En el principio fue la Guerra Fría. De ella surge la red de comunicación llamada ARPANET – militar -, mutada después en USENET – de carácter universitario -, hasta llegar a INTERNET, a principios de la década de los noventa. Pero no será sino hasta tres o cuatro años más tarde, cuando se generalice como producto de utilización no restringido a ciertas áreas más o menos amplias, abierto al mundo entero. Y en ese momento, se inició una evolución espectacular.</w:t>
            </w:r>
            <w:r w:rsidRPr="001B7F27">
              <w:rPr>
                <w:rFonts w:ascii="Arial" w:eastAsia="Times New Roman" w:hAnsi="Arial" w:cs="Arial"/>
                <w:color w:val="003399"/>
                <w:sz w:val="17"/>
                <w:szCs w:val="17"/>
                <w:lang w:eastAsia="es-AR"/>
              </w:rPr>
              <w:br/>
              <w:t>La red, en un principio creada para conectar instalaciones militares diversas, devino en un instrumento académico y, a pesar de que esta escisión se justifica con razones de mejor manejo, MILNET y USENET, permanecieron conectadas entre sí por lo que se denomina un protocolo de comunicaciones entre redes, que es la base de INTERNET, que está conformada por multitud de redes entrelazadas, siendo una de sus principales características el hecho que entre dos puntos pueden encontrarse varias vías de comunicación alternativas.</w:t>
            </w:r>
            <w:r w:rsidRPr="001B7F27">
              <w:rPr>
                <w:rFonts w:ascii="Arial" w:eastAsia="Times New Roman" w:hAnsi="Arial" w:cs="Arial"/>
                <w:color w:val="003399"/>
                <w:sz w:val="17"/>
                <w:szCs w:val="17"/>
                <w:lang w:eastAsia="es-AR"/>
              </w:rPr>
              <w:br/>
              <w:t xml:space="preserve">Algo se había creado, aparentemente de la nada. Un mundo nuevo que genera una nueva sociedad. En este nacimiento, algunos han creído que la red podía llegar a convertirse en una especie de paraíso anarquista en el que, en un perfecto anonimato, personas de todos los pueblos del mundo compartirían información, opiniones y relaciones, libre y espontáneamente, sin directrices ni imposiciones: un gran foro cultural, un ágora virtual, una democracia real. </w:t>
            </w:r>
            <w:r w:rsidRPr="001B7F27">
              <w:rPr>
                <w:rFonts w:ascii="Arial" w:eastAsia="Times New Roman" w:hAnsi="Arial" w:cs="Arial"/>
                <w:color w:val="003399"/>
                <w:sz w:val="17"/>
                <w:szCs w:val="17"/>
                <w:lang w:eastAsia="es-AR"/>
              </w:rPr>
              <w:br/>
              <w:t>Hay quiénes entienden que la red es una gran comunidad virtual compuesta de millones de adhesiones voluntarias, en una nueva manera de entender la relación humana. No debemos olvidar que, precisamente, una de las características de la red es que quién quiera puede opinar y, seguidamente, dar a conocer sus ideas sin intermediarios, por lo que no es extraño que nos encontremos todo tipo de análisis sobre la materia.</w:t>
            </w:r>
            <w:r w:rsidRPr="001B7F27">
              <w:rPr>
                <w:rFonts w:ascii="Arial" w:eastAsia="Times New Roman" w:hAnsi="Arial" w:cs="Arial"/>
                <w:color w:val="003399"/>
                <w:sz w:val="17"/>
                <w:szCs w:val="17"/>
                <w:lang w:eastAsia="es-AR"/>
              </w:rPr>
              <w:br/>
              <w:t>Mas es sabido que todos los paraísos lo son porque se pierden. El inicial anonimato va dejando paso a un progresivo control de la identidad del usuario de la red, a través de diversos mecanismos electrónicos, más y más sofisticados.</w:t>
            </w:r>
            <w:r w:rsidRPr="001B7F27">
              <w:rPr>
                <w:rFonts w:ascii="Arial" w:eastAsia="Times New Roman" w:hAnsi="Arial" w:cs="Arial"/>
                <w:color w:val="003399"/>
                <w:sz w:val="17"/>
                <w:szCs w:val="17"/>
                <w:lang w:eastAsia="es-AR"/>
              </w:rPr>
              <w:br/>
              <w:t>Por una parte, se hace necesario ese control, en aras de prevenir la emergente delincuencia informática, cuya evolución corre paralela a los avances técnicos.</w:t>
            </w:r>
            <w:r w:rsidRPr="001B7F27">
              <w:rPr>
                <w:rFonts w:ascii="Arial" w:eastAsia="Times New Roman" w:hAnsi="Arial" w:cs="Arial"/>
                <w:color w:val="003399"/>
                <w:sz w:val="17"/>
                <w:szCs w:val="17"/>
                <w:lang w:eastAsia="es-AR"/>
              </w:rPr>
              <w:br/>
              <w:t>En el gran mercado, la misión es vender y, para ello, la información es básica, tanto la que tiene el vendedor como la que se proporciona al potencial comprador, al recabar datos. La inocencia de los primerísimos tiempos da paso a un entorno competitivo, menos neutral y discreto de lo que aparenta.</w:t>
            </w:r>
            <w:r w:rsidRPr="001B7F27">
              <w:rPr>
                <w:rFonts w:ascii="Arial" w:eastAsia="Times New Roman" w:hAnsi="Arial" w:cs="Arial"/>
                <w:color w:val="003399"/>
                <w:sz w:val="17"/>
                <w:szCs w:val="17"/>
                <w:lang w:eastAsia="es-AR"/>
              </w:rPr>
              <w:br/>
              <w:t>No somos anónimos ni tampoco estamos seguros porque Internet no contempló como esencial el factor de la seguridad – dado sus orígenes no comerciales sino como medio para intercambiar libremente información e ideas -. Es una red abierta, fácilmente vulnerable para quien tenga unos mínimos conocimientos técnicos. Su progresiva mercantilización está determinando que lo que antes se contemplaba como un gasto superfluo, devenga ahora en prioridad absoluta.</w:t>
            </w:r>
            <w:r w:rsidRPr="001B7F27">
              <w:rPr>
                <w:rFonts w:ascii="Arial" w:eastAsia="Times New Roman" w:hAnsi="Arial" w:cs="Arial"/>
                <w:color w:val="003399"/>
                <w:sz w:val="17"/>
                <w:szCs w:val="17"/>
                <w:lang w:eastAsia="es-AR"/>
              </w:rPr>
              <w:br/>
              <w:t>Cuando la ley establece que, en los contratos de transporte de cosas, el porteador es responsable de la pérdida y de la avería de las cosas que le han sido entregadas para el transporte, si no prueba que la pérdida o avería han derivado de caso fortuito, de los vicios de las cosas o de su embalaje, o del hecho del remitente o destinatario, lo hace en virtud de la naturaleza de la actividad del transporte, debido a que dicha naturaleza trae aparejados peligros que son consustanciales con ella. En las comunicaciones por vía electrónica se produce algo similar, dado que el medio de transporte de los datos, la red, es, por su propia esencia, inseguro y susceptible de ataques externos, es decir, de personas ajenas al emisor y receptor, que pueden llegar a conocer y manipular el contenido del mensaje e incluso a crear uno, completamente falso.</w:t>
            </w:r>
            <w:r w:rsidRPr="001B7F27">
              <w:rPr>
                <w:rFonts w:ascii="Arial" w:eastAsia="Times New Roman" w:hAnsi="Arial" w:cs="Arial"/>
                <w:color w:val="003399"/>
                <w:sz w:val="17"/>
                <w:szCs w:val="17"/>
                <w:lang w:eastAsia="es-AR"/>
              </w:rPr>
              <w:br/>
              <w:t xml:space="preserve">Técnicamente, la red no es capaz de proteger, de forma general, a los que por ella se intercambian información y no da la impresión de que vaya a serlo, al menos en un período de tiempo razonable. En estas condiciones, el peligro de manipulación es algo connatural con el medio utilizado, por lo que los porteadores o empresas que prestan servicios de comunicación en la red, sencillamente no garantizan el buen fin de la comunicación. Así, verdaderamente podríamos decir que el transporte de datos por la red se realiza por cuenta y riesgo del emisor, por la misma razón que en el transporte terrestre, los riesgos y la buena o mala ventura recaen sobre el que pretende el envío. </w:t>
            </w:r>
            <w:r w:rsidRPr="001B7F27">
              <w:rPr>
                <w:rFonts w:ascii="Arial" w:eastAsia="Times New Roman" w:hAnsi="Arial" w:cs="Arial"/>
                <w:color w:val="003399"/>
                <w:sz w:val="17"/>
                <w:szCs w:val="17"/>
                <w:lang w:eastAsia="es-AR"/>
              </w:rPr>
              <w:br/>
              <w:t xml:space="preserve">Claro que no se trata de aplicar esta normativa sobre el transporte terrestre de cosas al comercio electrónico, pero esta referencia sirve para anunciar que, aunque nos encontremos frente a un fenómeno novedoso, las normas e </w:t>
            </w:r>
            <w:r w:rsidRPr="001B7F27">
              <w:rPr>
                <w:rFonts w:ascii="Arial" w:eastAsia="Times New Roman" w:hAnsi="Arial" w:cs="Arial"/>
                <w:color w:val="003399"/>
                <w:sz w:val="17"/>
                <w:szCs w:val="17"/>
                <w:lang w:eastAsia="es-AR"/>
              </w:rPr>
              <w:lastRenderedPageBreak/>
              <w:t>instituciones que lo dirijan no serán necesariamente originales, sino que algunas, ya preexistentes y, entre ellas, el Notariado, que puede aportar varios puntos de referencia y avances.</w:t>
            </w:r>
            <w:r w:rsidRPr="001B7F27">
              <w:rPr>
                <w:rFonts w:ascii="Arial" w:eastAsia="Times New Roman" w:hAnsi="Arial" w:cs="Arial"/>
                <w:color w:val="003399"/>
                <w:sz w:val="17"/>
                <w:szCs w:val="17"/>
                <w:lang w:eastAsia="es-AR"/>
              </w:rPr>
              <w:br/>
              <w:t>Nos encontramos, por tanto, conque el usuario de la red ha de buscarse particularmente su propio resguardo, en una situación que recuerda, en cierto modo, al Far West, cuando al atravesar territorios inexplorados y, presumiblemente infestados de peligros, las diligencias y caravanas debían procurarse por sí mismas la protección que el medio no les proporcionaba. También la red es un territorio extraño y lleno de peligros y en ella cada uno habrá de velar por su propio beneficio y por su propia seguridad.</w:t>
            </w:r>
            <w:r w:rsidRPr="001B7F27">
              <w:rPr>
                <w:rFonts w:ascii="Arial" w:eastAsia="Times New Roman" w:hAnsi="Arial" w:cs="Arial"/>
                <w:color w:val="003399"/>
                <w:sz w:val="17"/>
                <w:szCs w:val="17"/>
                <w:lang w:eastAsia="es-AR"/>
              </w:rPr>
              <w:br/>
              <w:t>Es un hecho que, por el momento, la red no genera confianza y es otro que, sin confianza, la contratación electrónica encontrará grandes obstáculos para su crecimiento. Este binomio seguridad – confiabilidad es la clave, y así se estima por los expertos.</w:t>
            </w:r>
            <w:r w:rsidRPr="001B7F27">
              <w:rPr>
                <w:rFonts w:ascii="Arial" w:eastAsia="Times New Roman" w:hAnsi="Arial" w:cs="Arial"/>
                <w:color w:val="003399"/>
                <w:sz w:val="17"/>
                <w:szCs w:val="17"/>
                <w:lang w:eastAsia="es-AR"/>
              </w:rPr>
              <w:br/>
              <w:t>Una de las medidas más difundidas para garantizar la seguridad en la red es la utilización de las firmas electrónicas, íntimamente relacionadas con la contratación electrónica y, a su vez, con los servicios de la sociedad de la información.</w:t>
            </w:r>
            <w:r w:rsidRPr="001B7F27">
              <w:rPr>
                <w:rFonts w:ascii="Arial" w:eastAsia="Times New Roman" w:hAnsi="Arial" w:cs="Arial"/>
                <w:color w:val="003399"/>
                <w:sz w:val="17"/>
                <w:szCs w:val="17"/>
                <w:lang w:eastAsia="es-AR"/>
              </w:rPr>
              <w:br/>
              <w:t>Dentro de estos servicios, se puede incluir ventas en línea, ofrecimiento de información en línea, retribuida o no, comunicaciones comerciales, búsqueda, acceso y recopilación de datos, transmisión de información o albergue de la misma y prestación de servicios audiovisuales.</w:t>
            </w:r>
            <w:r w:rsidRPr="001B7F27">
              <w:rPr>
                <w:rFonts w:ascii="Arial" w:eastAsia="Times New Roman" w:hAnsi="Arial" w:cs="Arial"/>
                <w:color w:val="003399"/>
                <w:sz w:val="17"/>
                <w:szCs w:val="17"/>
                <w:lang w:eastAsia="es-AR"/>
              </w:rPr>
              <w:br/>
              <w:t>El comercio electrónico, en un sentido amplio, como la realización de actos o negocios con trascendencia jurídica o económica a través de medios electrónicos, informáticos o telemáticos y la contratación electrónica incluye a todos los contratos perfeccionados por medios electrónicos cuando estos medios tengan una influencia real y decisiva en la formación de la voluntad contractual.</w:t>
            </w:r>
            <w:r w:rsidRPr="001B7F27">
              <w:rPr>
                <w:rFonts w:ascii="Arial" w:eastAsia="Times New Roman" w:hAnsi="Arial" w:cs="Arial"/>
                <w:color w:val="003399"/>
                <w:sz w:val="17"/>
                <w:szCs w:val="17"/>
                <w:lang w:eastAsia="es-AR"/>
              </w:rPr>
              <w:br/>
              <w:t>Un concepto más estricto del comercio electrónico referiría a la realización negocios jurídicos mercantiles y civiles a través de medios electrónicos, informáticos o telemáticos. Este concepto más estricto es de contenido esencialmente jurídico, más que económico, aunque también con trascendencia económica. Este concepto se refiere realmente a la realización de contratos por vía electrónica. Ambos conceptos se refieren al comercio electrónico realizado a través de una red telemática, generalmente a través de Internet, realizados en línea, por lo que el hecho de redactar un contrato e incorporarlo a un disquete o a cualquier otro soporte digital y enviarlo físicamente por correo o entregado en mano a la otra parte contratante, sería discutible sobre si se trata o no de comercio electrónico. Tal contrato podría ser firmado electrónicamente por una y otra parte contratante, pero no habría propio comercio electrónico, sino una sustitución del soporte físico del contrato: se sustituye el papel por un soporte digital.</w:t>
            </w:r>
            <w:r w:rsidRPr="001B7F27">
              <w:rPr>
                <w:rFonts w:ascii="Arial" w:eastAsia="Times New Roman" w:hAnsi="Arial" w:cs="Arial"/>
                <w:color w:val="003399"/>
                <w:sz w:val="17"/>
                <w:szCs w:val="17"/>
                <w:lang w:eastAsia="es-AR"/>
              </w:rPr>
              <w:br/>
              <w:t>Contratación electrónica: riesgos y necesidades</w:t>
            </w:r>
            <w:r w:rsidRPr="001B7F27">
              <w:rPr>
                <w:rFonts w:ascii="Arial" w:eastAsia="Times New Roman" w:hAnsi="Arial" w:cs="Arial"/>
                <w:color w:val="003399"/>
                <w:sz w:val="17"/>
                <w:szCs w:val="17"/>
                <w:lang w:eastAsia="es-AR"/>
              </w:rPr>
              <w:br/>
              <w:t>Después de buscar durante varios meses un libro antiguo, lo hallamos en el catálogo de una librería virtual, de la que desconocemos más datos que los que ella misma proporciona en su página web. Para adquirir el libro, nos solicitan el número de alguna de nuestras tarjetas de crédito, ¿se lo damos?</w:t>
            </w:r>
            <w:r w:rsidRPr="001B7F27">
              <w:rPr>
                <w:rFonts w:ascii="Arial" w:eastAsia="Times New Roman" w:hAnsi="Arial" w:cs="Arial"/>
                <w:color w:val="003399"/>
                <w:sz w:val="17"/>
                <w:szCs w:val="17"/>
                <w:lang w:eastAsia="es-AR"/>
              </w:rPr>
              <w:br/>
              <w:t>El abogado de una empresa solicita que le sean remitidos datos confidenciales que, de ningún modo tienen que ser conocidos por la competencia ni por ninguna otra persona física o jurídica, ¿se los podemos enviar por correo electrónico?</w:t>
            </w:r>
            <w:r w:rsidRPr="001B7F27">
              <w:rPr>
                <w:rFonts w:ascii="Arial" w:eastAsia="Times New Roman" w:hAnsi="Arial" w:cs="Arial"/>
                <w:color w:val="003399"/>
                <w:sz w:val="17"/>
                <w:szCs w:val="17"/>
                <w:lang w:eastAsia="es-AR"/>
              </w:rPr>
              <w:br/>
              <w:t>¿Cómo saber si la oferta comercial que estamos a punto de aceptar y, que ha sido remitida por Internet, no ha sido manipulada?</w:t>
            </w:r>
            <w:r w:rsidRPr="001B7F27">
              <w:rPr>
                <w:rFonts w:ascii="Arial" w:eastAsia="Times New Roman" w:hAnsi="Arial" w:cs="Arial"/>
                <w:color w:val="003399"/>
                <w:sz w:val="17"/>
                <w:szCs w:val="17"/>
                <w:lang w:eastAsia="es-AR"/>
              </w:rPr>
              <w:br/>
              <w:t>Estos ejemplos ilustran, a grandes rasgos, las dudas ante los peligros potenciales o reales que pueden aparecer al plantearse el utilizar la red como medio de transacción. En el primero de ellos, el temor puede radicar en que no exista la librería en cuestión y que al proporcionar los números de una tarjeta de crédito se extraigan, fraudulentamente, fondos de la misma. En el segundo, en cambio, se trata de la incertidumbre acerca de sí los datos van a ser interceptados y conocidos por terceros. Y en el último, la duda recae en el propio contenido del mensaje.</w:t>
            </w:r>
            <w:r w:rsidRPr="001B7F27">
              <w:rPr>
                <w:rFonts w:ascii="Arial" w:eastAsia="Times New Roman" w:hAnsi="Arial" w:cs="Arial"/>
                <w:color w:val="003399"/>
                <w:sz w:val="17"/>
                <w:szCs w:val="17"/>
                <w:lang w:eastAsia="es-AR"/>
              </w:rPr>
              <w:br/>
              <w:t>No se trata de temores exagerados, producto de la ignorancia y la desconfianza hacia lo desconocido; por el contrario, es relativamente fácil crear una página web falsa e incluso varias, interrelacionadas. Y no es complicado, técnicamente, obtener y manipular mensajes electrónicos. Se trata de peligros muy reales.</w:t>
            </w:r>
            <w:r w:rsidRPr="001B7F27">
              <w:rPr>
                <w:rFonts w:ascii="Arial" w:eastAsia="Times New Roman" w:hAnsi="Arial" w:cs="Arial"/>
                <w:color w:val="003399"/>
                <w:sz w:val="17"/>
                <w:szCs w:val="17"/>
                <w:lang w:eastAsia="es-AR"/>
              </w:rPr>
              <w:br/>
              <w:t>Intercambiar información en Internet, como red abierta que es, implica, en definitiva, asumir riesgos.</w:t>
            </w:r>
            <w:r w:rsidRPr="001B7F27">
              <w:rPr>
                <w:rFonts w:ascii="Arial" w:eastAsia="Times New Roman" w:hAnsi="Arial" w:cs="Arial"/>
                <w:color w:val="003399"/>
                <w:sz w:val="17"/>
                <w:szCs w:val="17"/>
                <w:lang w:eastAsia="es-AR"/>
              </w:rPr>
              <w:br/>
              <w:t>El autor del mensaje puede no ser quien aparece al receptor o el mensaje puede no recibirse como se envió o incluso todo el mensaje puede ser falso; también puede suceder que el mensaje haya sido leído por un tercero no deseado o que el emisor puede negar haberlo enviado o el receptor, haberlo recibido.</w:t>
            </w:r>
            <w:r w:rsidRPr="001B7F27">
              <w:rPr>
                <w:rFonts w:ascii="Arial" w:eastAsia="Times New Roman" w:hAnsi="Arial" w:cs="Arial"/>
                <w:color w:val="003399"/>
                <w:sz w:val="17"/>
                <w:szCs w:val="17"/>
                <w:lang w:eastAsia="es-AR"/>
              </w:rPr>
              <w:br/>
              <w:t>La seguridad es un término que se encuentra unido, de manera indisoluble, al Derecho. Para el desarrollo jurídico del comercio electrónico es, de todo punto, imprescindible, configurar un mecanismo capaz de proporcionar la seguridad técnica que ahuyente estos temores, cumpliendo unos principios, admitidos generalmente como básicos:</w:t>
            </w:r>
            <w:r w:rsidRPr="001B7F27">
              <w:rPr>
                <w:rFonts w:ascii="Arial" w:eastAsia="Times New Roman" w:hAnsi="Arial" w:cs="Arial"/>
                <w:color w:val="003399"/>
                <w:sz w:val="17"/>
                <w:szCs w:val="17"/>
                <w:lang w:eastAsia="es-AR"/>
              </w:rPr>
              <w:br/>
              <w:t>Autenticación</w:t>
            </w:r>
            <w:r w:rsidRPr="001B7F27">
              <w:rPr>
                <w:rFonts w:ascii="Arial" w:eastAsia="Times New Roman" w:hAnsi="Arial" w:cs="Arial"/>
                <w:color w:val="003399"/>
                <w:sz w:val="17"/>
                <w:szCs w:val="17"/>
                <w:lang w:eastAsia="es-AR"/>
              </w:rPr>
              <w:br/>
              <w:t>Integridad</w:t>
            </w:r>
            <w:r w:rsidRPr="001B7F27">
              <w:rPr>
                <w:rFonts w:ascii="Arial" w:eastAsia="Times New Roman" w:hAnsi="Arial" w:cs="Arial"/>
                <w:color w:val="003399"/>
                <w:sz w:val="17"/>
                <w:szCs w:val="17"/>
                <w:lang w:eastAsia="es-AR"/>
              </w:rPr>
              <w:br/>
              <w:t>No rechazo o no repudio</w:t>
            </w:r>
            <w:r w:rsidRPr="001B7F27">
              <w:rPr>
                <w:rFonts w:ascii="Arial" w:eastAsia="Times New Roman" w:hAnsi="Arial" w:cs="Arial"/>
                <w:color w:val="003399"/>
                <w:sz w:val="17"/>
                <w:szCs w:val="17"/>
                <w:lang w:eastAsia="es-AR"/>
              </w:rPr>
              <w:br/>
              <w:t>Confidencialidad</w:t>
            </w:r>
            <w:r w:rsidRPr="001B7F27">
              <w:rPr>
                <w:rFonts w:ascii="Arial" w:eastAsia="Times New Roman" w:hAnsi="Arial" w:cs="Arial"/>
                <w:color w:val="003399"/>
                <w:sz w:val="17"/>
                <w:szCs w:val="17"/>
                <w:lang w:eastAsia="es-AR"/>
              </w:rPr>
              <w:br/>
              <w:t>4. Contratación electrónica: ámbito de aplicación</w:t>
            </w:r>
            <w:r w:rsidRPr="001B7F27">
              <w:rPr>
                <w:rFonts w:ascii="Arial" w:eastAsia="Times New Roman" w:hAnsi="Arial" w:cs="Arial"/>
                <w:color w:val="003399"/>
                <w:sz w:val="17"/>
                <w:szCs w:val="17"/>
                <w:lang w:eastAsia="es-AR"/>
              </w:rPr>
              <w:br/>
              <w:t>Legislativamente, se intenta delimitar el ámbito de aplicación de la contratación electrónica, por exclusión voluntaria y quizás, pensando en el concepto estricto del mismo. La Directiva europea sobre comercio electrónico, permite que los Estados miembros excluyan voluntariamente la posibilidad de realizar contratos por vía electrónica relativos a:</w:t>
            </w:r>
            <w:r w:rsidRPr="001B7F27">
              <w:rPr>
                <w:rFonts w:ascii="Arial" w:eastAsia="Times New Roman" w:hAnsi="Arial" w:cs="Arial"/>
                <w:color w:val="003399"/>
                <w:sz w:val="17"/>
                <w:szCs w:val="17"/>
                <w:lang w:eastAsia="es-AR"/>
              </w:rPr>
              <w:br/>
              <w:t>a) Creación o transferencia de derechos en materia inmobiliaria, con excepción de los derechos de arrendamiento. Aquí se incluyen la venta de inmuebles, propiedad a tiempo compartido, obra nueva, propiedad por pisos y departamentos, segregaciones, agrupaciones de fincas, constitución de hipotecas, servidumbres prediales, censos, derechos de superficie, vuelo y, en general, los derechos reales sobre bienes inmuebles o actos de trascendencia jurídico-real sobre los mismos.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b) Los que requieren, por Ley, la intervención de los Tribunales, autoridades públicas o profesionales, que ejerzan una función pública.</w:t>
            </w:r>
            <w:r w:rsidRPr="001B7F27">
              <w:rPr>
                <w:rFonts w:ascii="Arial" w:eastAsia="Times New Roman" w:hAnsi="Arial" w:cs="Arial"/>
                <w:color w:val="003399"/>
                <w:sz w:val="17"/>
                <w:szCs w:val="17"/>
                <w:lang w:eastAsia="es-AR"/>
              </w:rPr>
              <w:br/>
              <w:t xml:space="preserve">c) De crédito y caución y las garantías presentadas por personas que actúan por motivos ajenos a su actividad económica, negocio o profesión. Se refiere a la concesión de préstamos, líneas de descuento, cuentas de crédito, fianzas, pignoración de bienes y valores, entre otros. </w:t>
            </w:r>
            <w:r w:rsidRPr="001B7F27">
              <w:rPr>
                <w:rFonts w:ascii="Arial" w:eastAsia="Times New Roman" w:hAnsi="Arial" w:cs="Arial"/>
                <w:color w:val="003399"/>
                <w:sz w:val="17"/>
                <w:szCs w:val="17"/>
                <w:lang w:eastAsia="es-AR"/>
              </w:rPr>
              <w:br/>
              <w:t xml:space="preserve">d) Los contratos en materia de Derecho de Familia o de sucesiones. </w:t>
            </w:r>
            <w:r w:rsidRPr="001B7F27">
              <w:rPr>
                <w:rFonts w:ascii="Arial" w:eastAsia="Times New Roman" w:hAnsi="Arial" w:cs="Arial"/>
                <w:color w:val="003399"/>
                <w:sz w:val="17"/>
                <w:szCs w:val="17"/>
                <w:lang w:eastAsia="es-AR"/>
              </w:rPr>
              <w:br/>
              <w:t xml:space="preserve">En cuanto a los contratos relativos a bienes inmuebles, su posible exclusión del ámbito de la contratación telemática es acertada, al menos, por lo que respecta a nuestro sistema legislativo. </w:t>
            </w:r>
            <w:r w:rsidRPr="001B7F27">
              <w:rPr>
                <w:rFonts w:ascii="Arial" w:eastAsia="Times New Roman" w:hAnsi="Arial" w:cs="Arial"/>
                <w:color w:val="003399"/>
                <w:sz w:val="17"/>
                <w:szCs w:val="17"/>
                <w:lang w:eastAsia="es-AR"/>
              </w:rPr>
              <w:br/>
              <w:t xml:space="preserve">La norma establece la posibilidad, no la obligación, de que los Estados miembros excluyan la celebración de contratos por vía electrónica en las materias referidas. Estos términos son consecuencia de la propia naturaleza del Derecho Comunitario que, a través de las Directivas pretende armonizar, no igualar, las legislaciones de los Estados miembros. </w:t>
            </w:r>
            <w:r w:rsidRPr="001B7F27">
              <w:rPr>
                <w:rFonts w:ascii="Arial" w:eastAsia="Times New Roman" w:hAnsi="Arial" w:cs="Arial"/>
                <w:color w:val="003399"/>
                <w:sz w:val="17"/>
                <w:szCs w:val="17"/>
                <w:lang w:eastAsia="es-AR"/>
              </w:rPr>
              <w:br/>
              <w:t>En lo referente a la contratación electrónica, es cuando se aprecia de manera sin igual, la aplicación del Principio de Libertad de Formas, por el que es posible elegir, con carácter general, la forma, oral, escrita privada o pública que se crea conveniente, para la realización de un acto jurídico, salvo que disposición en contrario de la Ley y bajo pena de nulidad.</w:t>
            </w:r>
            <w:r w:rsidRPr="001B7F27">
              <w:rPr>
                <w:rFonts w:ascii="Arial" w:eastAsia="Times New Roman" w:hAnsi="Arial" w:cs="Arial"/>
                <w:color w:val="003399"/>
                <w:sz w:val="17"/>
                <w:szCs w:val="17"/>
                <w:lang w:eastAsia="es-AR"/>
              </w:rPr>
              <w:br/>
              <w:t>Esta decisión afecta muy especialmente a ciertos efectos del contrato elegido. Así, si se pretende que el contrato tenga efectos ejecutivos, que produzca una presunción de legitimidad y veracidad en el tráfico, que haga prueba aún contra tercero, del hecho que motiva su otorgamiento y la fecha de éste, que las declaraciones contenidas en el mismo, sólo puedan dejarse sin efecto por resolución judicial, que sirva de título para el tráfico, de vehículo adecuado para la inscripción en los Registros Públicos, que se considere como un principio de prueba privilegiado, deberá optarse por la forma del documento público, que es el que produce estos efectos evidentemente superiores a la forma del documento privado.</w:t>
            </w:r>
            <w:r w:rsidRPr="001B7F27">
              <w:rPr>
                <w:rFonts w:ascii="Arial" w:eastAsia="Times New Roman" w:hAnsi="Arial" w:cs="Arial"/>
                <w:color w:val="003399"/>
                <w:sz w:val="17"/>
                <w:szCs w:val="17"/>
                <w:lang w:eastAsia="es-AR"/>
              </w:rPr>
              <w:br/>
              <w:t>¿Qué ocurriría si, a pesar de que la normativa nacional excluyese expresamente de la contratación por vía electrónica, un determinado ámbito negocial, se realizase el contrato por dicha vía electrónica?</w:t>
            </w:r>
            <w:r w:rsidRPr="001B7F27">
              <w:rPr>
                <w:rFonts w:ascii="Arial" w:eastAsia="Times New Roman" w:hAnsi="Arial" w:cs="Arial"/>
                <w:color w:val="003399"/>
                <w:sz w:val="17"/>
                <w:szCs w:val="17"/>
                <w:lang w:eastAsia="es-AR"/>
              </w:rPr>
              <w:br/>
              <w:t>La solución a este problema debe partir de la consideración de que la vía electrónica no es más que un camino, un procedimiento o un medio para conseguir un fin, el cual es, la conclusión de un negocio jurídico. Esta vía podría incluirse dentro de un concepto amplio del término forma, como medio de exteriorización de la voluntad negocial. Es decir, los procedimientos electrónicos son el soporte de la declaración de voluntad, como lo son la voz o el papel.</w:t>
            </w:r>
            <w:r w:rsidRPr="001B7F27">
              <w:rPr>
                <w:rFonts w:ascii="Arial" w:eastAsia="Times New Roman" w:hAnsi="Arial" w:cs="Arial"/>
                <w:color w:val="003399"/>
                <w:sz w:val="17"/>
                <w:szCs w:val="17"/>
                <w:lang w:eastAsia="es-AR"/>
              </w:rPr>
              <w:br/>
              <w:t>Sin embargo, la utilización del procedimiento electrónico no es forma en un sentido estricto y más técnico jurídico; aquí, la forma aparece como un requisito esencial del negocio jurídico exigido por la Ley o por la voluntad de las partes.</w:t>
            </w:r>
            <w:r w:rsidRPr="001B7F27">
              <w:rPr>
                <w:rFonts w:ascii="Arial" w:eastAsia="Times New Roman" w:hAnsi="Arial" w:cs="Arial"/>
                <w:color w:val="003399"/>
                <w:sz w:val="17"/>
                <w:szCs w:val="17"/>
                <w:lang w:eastAsia="es-AR"/>
              </w:rPr>
              <w:br/>
              <w:t xml:space="preserve">Desde esta perspectiva de considerar los procedimientos electrónicos, como forma en sentido amplio, su utilización, en principio, debe ser lícita en todo caso. A diferencia de la forma estricta, entendida como requisito impuesto al negocio jurídico (por ejemplo, la escritura pública en la donación de bienes inmuebles), cuya inobservancia produce la inexistencia del negocio jurídico, no ocurre lo mismo con la forma en sentido amplio, ya que la voluntad negocial debe exteriorizarse y sólo lo puede hacer por medio de un vehículo formal en sentido amplio. La forma en sentido amplio es inmanente y requisito natural al negocio jurídico; la forma en sentido estricto viene impuesta por otras consideraciones, como puede ser la protección de los especiales intereses que se producen en determinados ámbitos negociales, o por la propia voluntad de los particulares, que consideran más adecuado para la consecución de sus fines, la utilización de una forma concreta. De ello se deduce que el negocio jurídico necesita de una mecanismo de exteriorización que podrá ser cualquiera, como la utilización de los medios electrónicos. </w:t>
            </w:r>
            <w:r w:rsidRPr="001B7F27">
              <w:rPr>
                <w:rFonts w:ascii="Arial" w:eastAsia="Times New Roman" w:hAnsi="Arial" w:cs="Arial"/>
                <w:color w:val="003399"/>
                <w:sz w:val="17"/>
                <w:szCs w:val="17"/>
                <w:lang w:eastAsia="es-AR"/>
              </w:rPr>
              <w:br/>
              <w:t>Si el Derecho Comunitario excluye de su aplicación, el ámbito notarial, especialmente, ¿cuál sería la consecuencia jurídica de la utilización de los medios electrónicos en un ámbito expresamente prohibido?</w:t>
            </w:r>
            <w:r w:rsidRPr="001B7F27">
              <w:rPr>
                <w:rFonts w:ascii="Arial" w:eastAsia="Times New Roman" w:hAnsi="Arial" w:cs="Arial"/>
                <w:color w:val="003399"/>
                <w:sz w:val="17"/>
                <w:szCs w:val="17"/>
                <w:lang w:eastAsia="es-AR"/>
              </w:rPr>
              <w:br/>
              <w:t>Para determinar la validez o ineficacia del negocio jurídico celebrado bajo estas circunstancias, es importante acudir a una cierta disminución de alguno de los efectos del negocio jurídico realizado por vía electrónica, contraviniendo la exclusión a la que hace mención la Directiva comunitaria. Por ejemplo, los Registros Públicos podrían negar el acceso a los actos jurídicos hasta que se utilice el instrumento público o bien supeditar en último término la eficacia del negocio jurídico a la necesidad de otorgar los contratantes una forma documental escrita, a modo de justificante, aunque ésta sea remitida por correo. Ahora bien, en esos casos deberán deslindarse con mucha precisión los supuestos de validación que se producen con el envío de tal justificante, porque, de lo contrario, se abriría una brecha importante que impediría la actuación de los principios que han inspirado las exclusiones que venimos tratando.</w:t>
            </w:r>
            <w:r w:rsidRPr="001B7F27">
              <w:rPr>
                <w:rFonts w:ascii="Arial" w:eastAsia="Times New Roman" w:hAnsi="Arial" w:cs="Arial"/>
                <w:color w:val="003399"/>
                <w:sz w:val="17"/>
                <w:szCs w:val="17"/>
                <w:lang w:eastAsia="es-AR"/>
              </w:rPr>
              <w:br/>
              <w:t>Como la función pública está excluida de la regulación de la Unión Europea, se deduce que es la legislación nacional de los Estados miembros, la que debe regular tal función pública, ámbito de actuación y efectos. Serán, además, las normas particulares que regulan la función judicial, administrativa y notarial, las que deban reglamentar las cuestiones relativas a la contratación electrónica dentro de sus ámbitos respectivos y ello, lógicamente, por ser su sede natural, con lo que se evitarían distorsiones en el sistema general de cada ordenamiento jurídico, corolario que tendría eco, perfectamente, en lo que respecta al panorama del MERCOSUR.</w:t>
            </w:r>
            <w:r w:rsidRPr="001B7F27">
              <w:rPr>
                <w:rFonts w:ascii="Arial" w:eastAsia="Times New Roman" w:hAnsi="Arial" w:cs="Arial"/>
                <w:color w:val="003399"/>
                <w:sz w:val="17"/>
                <w:szCs w:val="17"/>
                <w:lang w:eastAsia="es-AR"/>
              </w:rPr>
              <w:br/>
              <w:t>La Directiva europea sobre comercio electrónico excluye en su ámbito de aplicación las actividades de los Notarios o profesionales equivalentes, en la medida que impliquen una conexión directa y específica con el ejercicio de la actividad pública.</w:t>
            </w:r>
            <w:r w:rsidRPr="001B7F27">
              <w:rPr>
                <w:rFonts w:ascii="Arial" w:eastAsia="Times New Roman" w:hAnsi="Arial" w:cs="Arial"/>
                <w:color w:val="003399"/>
                <w:sz w:val="17"/>
                <w:szCs w:val="17"/>
                <w:lang w:eastAsia="es-AR"/>
              </w:rPr>
              <w:br/>
              <w:t>5. Contratación electrónica: otros aspectos jurídicos a ser considerados</w:t>
            </w:r>
            <w:r w:rsidRPr="001B7F27">
              <w:rPr>
                <w:rFonts w:ascii="Arial" w:eastAsia="Times New Roman" w:hAnsi="Arial" w:cs="Arial"/>
                <w:color w:val="003399"/>
                <w:sz w:val="17"/>
                <w:szCs w:val="17"/>
                <w:lang w:eastAsia="es-AR"/>
              </w:rPr>
              <w:br/>
              <w:t>El jurista español Javier Ribas Alejandro, enumera los aspectos jurídicos a tenerse en cuenta a la hora de hablar de la contratación y del comercio electrónico en Internet, no siendo taxativa la misma, sino eminentemente enunciativa:</w:t>
            </w:r>
            <w:r w:rsidRPr="001B7F27">
              <w:rPr>
                <w:rFonts w:ascii="Arial" w:eastAsia="Times New Roman" w:hAnsi="Arial" w:cs="Arial"/>
                <w:color w:val="003399"/>
                <w:sz w:val="17"/>
                <w:szCs w:val="17"/>
                <w:lang w:eastAsia="es-AR"/>
              </w:rPr>
              <w:br/>
              <w:t>Protección de la oferta, que incluye aspectos de propiedad industrial e intelectual.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Marketing y publicidad en Internet.</w:t>
            </w:r>
            <w:r w:rsidRPr="001B7F27">
              <w:rPr>
                <w:rFonts w:ascii="Arial" w:eastAsia="Times New Roman" w:hAnsi="Arial" w:cs="Arial"/>
                <w:color w:val="003399"/>
                <w:sz w:val="17"/>
                <w:szCs w:val="17"/>
                <w:lang w:eastAsia="es-AR"/>
              </w:rPr>
              <w:br/>
              <w:t>Formularios de pedidos.</w:t>
            </w:r>
            <w:r w:rsidRPr="001B7F27">
              <w:rPr>
                <w:rFonts w:ascii="Arial" w:eastAsia="Times New Roman" w:hAnsi="Arial" w:cs="Arial"/>
                <w:color w:val="003399"/>
                <w:sz w:val="17"/>
                <w:szCs w:val="17"/>
                <w:lang w:eastAsia="es-AR"/>
              </w:rPr>
              <w:br/>
              <w:t>Requisitos esenciales del contrato on line, tales como cláusulas específicas, sometimiento a arbitraje o a una jurisdicción, fuerza vinculante del contrato o click wrap contracts y firmas electrónicas.</w:t>
            </w:r>
            <w:r w:rsidRPr="001B7F27">
              <w:rPr>
                <w:rFonts w:ascii="Arial" w:eastAsia="Times New Roman" w:hAnsi="Arial" w:cs="Arial"/>
                <w:color w:val="003399"/>
                <w:sz w:val="17"/>
                <w:szCs w:val="17"/>
                <w:lang w:eastAsia="es-AR"/>
              </w:rPr>
              <w:br/>
              <w:t>Prueba de la aceptación.</w:t>
            </w:r>
            <w:r w:rsidRPr="001B7F27">
              <w:rPr>
                <w:rFonts w:ascii="Arial" w:eastAsia="Times New Roman" w:hAnsi="Arial" w:cs="Arial"/>
                <w:color w:val="003399"/>
                <w:sz w:val="17"/>
                <w:szCs w:val="17"/>
                <w:lang w:eastAsia="es-AR"/>
              </w:rPr>
              <w:br/>
              <w:t>Prevención de la responsabilidad civil.</w:t>
            </w:r>
            <w:r w:rsidRPr="001B7F27">
              <w:rPr>
                <w:rFonts w:ascii="Arial" w:eastAsia="Times New Roman" w:hAnsi="Arial" w:cs="Arial"/>
                <w:color w:val="003399"/>
                <w:sz w:val="17"/>
                <w:szCs w:val="17"/>
                <w:lang w:eastAsia="es-AR"/>
              </w:rPr>
              <w:br/>
              <w:t>Prevención de delitos.</w:t>
            </w:r>
            <w:r w:rsidRPr="001B7F27">
              <w:rPr>
                <w:rFonts w:ascii="Arial" w:eastAsia="Times New Roman" w:hAnsi="Arial" w:cs="Arial"/>
                <w:color w:val="003399"/>
                <w:sz w:val="17"/>
                <w:szCs w:val="17"/>
                <w:lang w:eastAsia="es-AR"/>
              </w:rPr>
              <w:br/>
              <w:t>Impuestos en Internet.</w:t>
            </w:r>
            <w:r w:rsidRPr="001B7F27">
              <w:rPr>
                <w:rFonts w:ascii="Arial" w:eastAsia="Times New Roman" w:hAnsi="Arial" w:cs="Arial"/>
                <w:color w:val="003399"/>
                <w:sz w:val="17"/>
                <w:szCs w:val="17"/>
                <w:lang w:eastAsia="es-AR"/>
              </w:rPr>
              <w:br/>
              <w:t>En lo concerniente a la protección de la oferta, podemos decir que, el contenido de dicha protección, debería abarcar tanto al diseño de la oferta comercial, como a los códigos fuente, imágenes, gráficos, citas, links, marcas, etc.</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Derechos de Propiedad Industrial e Intelectual, resguardados por numerosos instrumentos internacionales y leyes nacionales, encuentran en el contrato denominado escrow, un aliado de peso.</w:t>
            </w:r>
            <w:r w:rsidRPr="001B7F27">
              <w:rPr>
                <w:rFonts w:ascii="Arial" w:eastAsia="Times New Roman" w:hAnsi="Arial" w:cs="Arial"/>
                <w:color w:val="003399"/>
                <w:sz w:val="17"/>
                <w:szCs w:val="17"/>
                <w:lang w:eastAsia="es-AR"/>
              </w:rPr>
              <w:br/>
              <w:t>En efecto, esta nueva forma contractual se constituye como medida alternativa o complementaria a la inscripción en los Registros de Propiedad Intelectual y se constituye bajo la forma de un depósito notarial de los contenidos, el diseño gráfico y el código fuente de la página web, así como los soportes magnéticos conteniendo el código objeto, documentación preparatoria y demás elementos identificativos de la página web, que pueden ser de vital importancia para la práctica de una prueba pericial.</w:t>
            </w:r>
            <w:r w:rsidRPr="001B7F27">
              <w:rPr>
                <w:rFonts w:ascii="Arial" w:eastAsia="Times New Roman" w:hAnsi="Arial" w:cs="Arial"/>
                <w:color w:val="003399"/>
                <w:sz w:val="17"/>
                <w:szCs w:val="17"/>
                <w:lang w:eastAsia="es-AR"/>
              </w:rPr>
              <w:br/>
              <w:t>Esta figura ofrece la posibilidad de depositar en la Notaría, tanto el código fuente, como el código objeto o cualquier otro material que identifique al programa, pudiendo ser fácilmente aportado a un procedimiento judicial por infracción de derechos de propiedad intelectual.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aspecto jurídico más relevante que envuelve, tanto a la oferta como al marketing y a la publicidad efectuada por Internet, se desarrolla, sin lugar a dudas, en torno a los derechos de los consumidores y usuarios finales.</w:t>
            </w:r>
            <w:r w:rsidRPr="001B7F27">
              <w:rPr>
                <w:rFonts w:ascii="Arial" w:eastAsia="Times New Roman" w:hAnsi="Arial" w:cs="Arial"/>
                <w:color w:val="003399"/>
                <w:sz w:val="17"/>
                <w:szCs w:val="17"/>
                <w:lang w:eastAsia="es-AR"/>
              </w:rPr>
              <w:br/>
              <w:t>Las garantías constitucionales relativas a la protección a los datos de carácter personal y a la intimidad, deben tenerse en consideración, en cuanto a las políticas de las empresas, respecto a los datos y a la información obtenida a través de páginas web.</w:t>
            </w:r>
            <w:r w:rsidRPr="001B7F27">
              <w:rPr>
                <w:rFonts w:ascii="Arial" w:eastAsia="Times New Roman" w:hAnsi="Arial" w:cs="Arial"/>
                <w:color w:val="003399"/>
                <w:sz w:val="17"/>
                <w:szCs w:val="17"/>
                <w:lang w:eastAsia="es-AR"/>
              </w:rPr>
              <w:br/>
              <w:t>Asimismo, a pesar de no contar con disposiciones específicas sobre la confección de formularios de pedido, las normas relativas a los contratos de adhesión, a los contratos celebrados entre ausentes y al lugar y tiempo de cumplimiento de las obligaciones, son aplicables, por analogía, a estos supuestos.</w:t>
            </w:r>
            <w:r w:rsidRPr="001B7F27">
              <w:rPr>
                <w:rFonts w:ascii="Arial" w:eastAsia="Times New Roman" w:hAnsi="Arial" w:cs="Arial"/>
                <w:color w:val="003399"/>
                <w:sz w:val="17"/>
                <w:szCs w:val="17"/>
                <w:lang w:eastAsia="es-AR"/>
              </w:rPr>
              <w:br/>
              <w:t>La Directiva de la Unión Europea sobre venta a distancia, aborda el tema, legislando sobre temas como los servicios financieros, las informaciones previas debidas a los compradores, la confirmación por escrito, el derecho de ejecución, el derecho de resolución y el pago mediante tarjeta de crédito.</w:t>
            </w:r>
            <w:r w:rsidRPr="001B7F27">
              <w:rPr>
                <w:rFonts w:ascii="Arial" w:eastAsia="Times New Roman" w:hAnsi="Arial" w:cs="Arial"/>
                <w:color w:val="003399"/>
                <w:sz w:val="17"/>
                <w:szCs w:val="17"/>
                <w:lang w:eastAsia="es-AR"/>
              </w:rPr>
              <w:br/>
              <w:t>Es importante resaltar en este punto que, de conformidad con dicha Directiva, el consumidor contará con un plazo de siete días para resolver el contrato, sin penalización alguna y sin indicación de motivos y el proveedor queda obligado a ejecutar el pedido en un plazo de treinta días a partir del momento en que el consumidor le comunicara su pedido.</w:t>
            </w:r>
            <w:r w:rsidRPr="001B7F27">
              <w:rPr>
                <w:rFonts w:ascii="Arial" w:eastAsia="Times New Roman" w:hAnsi="Arial" w:cs="Arial"/>
                <w:color w:val="003399"/>
                <w:sz w:val="17"/>
                <w:szCs w:val="17"/>
                <w:lang w:eastAsia="es-AR"/>
              </w:rPr>
              <w:br/>
              <w:t>El consumidor podrá anular su pedido en caso que la tarjeta de crédito con la que iba a realizar el pago del mismo, le haya sido sustraída o se le hubiera extraviado.</w:t>
            </w:r>
            <w:r w:rsidRPr="001B7F27">
              <w:rPr>
                <w:rFonts w:ascii="Arial" w:eastAsia="Times New Roman" w:hAnsi="Arial" w:cs="Arial"/>
                <w:color w:val="003399"/>
                <w:sz w:val="17"/>
                <w:szCs w:val="17"/>
                <w:lang w:eastAsia="es-AR"/>
              </w:rPr>
              <w:br/>
              <w:t>La Directiva recomienda que la oferta incluida en la página web, contemple la identidad del proveedor, las características especiales del producto, el precio y los gastos de transporte, las formas de pago, las modalidades de entrega o ejecución y el plazo de validez de la oferta.</w:t>
            </w:r>
            <w:r w:rsidRPr="001B7F27">
              <w:rPr>
                <w:rFonts w:ascii="Arial" w:eastAsia="Times New Roman" w:hAnsi="Arial" w:cs="Arial"/>
                <w:color w:val="003399"/>
                <w:sz w:val="17"/>
                <w:szCs w:val="17"/>
                <w:lang w:eastAsia="es-AR"/>
              </w:rPr>
              <w:br/>
              <w:t>En cuanto a los requisitos esenciales del contrato on line, son aplicables también, por analogía, la Convención de las Naciones Unidas sobre los contratos de compraventa internacional de mercancías, suscrito en Viena, el 11 de abril de 1980, así como los demás instrumentos internacionales y las leyes internas de cada Estado.</w:t>
            </w:r>
            <w:r w:rsidRPr="001B7F27">
              <w:rPr>
                <w:rFonts w:ascii="Arial" w:eastAsia="Times New Roman" w:hAnsi="Arial" w:cs="Arial"/>
                <w:color w:val="003399"/>
                <w:sz w:val="17"/>
                <w:szCs w:val="17"/>
                <w:lang w:eastAsia="es-AR"/>
              </w:rPr>
              <w:br/>
              <w:t>La tendencia internacional opta por la creación de normas específicas para ser utilizadas en Internet, como consecuencia de la poca satisfacción que ofrece el sometimiento de las cuestiones controvertidas a la legislación del vendedor o del comprador o a documentos internacionales. El arbitraje internacional está altamente recomendado.</w:t>
            </w:r>
            <w:r w:rsidRPr="001B7F27">
              <w:rPr>
                <w:rFonts w:ascii="Arial" w:eastAsia="Times New Roman" w:hAnsi="Arial" w:cs="Arial"/>
                <w:color w:val="003399"/>
                <w:sz w:val="17"/>
                <w:szCs w:val="17"/>
                <w:lang w:eastAsia="es-AR"/>
              </w:rPr>
              <w:br/>
              <w:t>El fenómeno de la aldea global generado por Internet provoca un efecto de disolución de fronteras, que tiene sus consecuencias inmediatas en la determinación de la autoridad judicial competente en el caso de delitos transfronterizos. Cualquier información introducida a la red está disponible de inmediato para cualquier ciudadano de cualquier país del mundo que esté conectado a Internet, pudiéndose dar la paradoja de que su contenido constituya un delito en unos países y esté tolerado en otros.</w:t>
            </w:r>
            <w:r w:rsidRPr="001B7F27">
              <w:rPr>
                <w:rFonts w:ascii="Arial" w:eastAsia="Times New Roman" w:hAnsi="Arial" w:cs="Arial"/>
                <w:color w:val="003399"/>
                <w:sz w:val="17"/>
                <w:szCs w:val="17"/>
                <w:lang w:eastAsia="es-AR"/>
              </w:rPr>
              <w:br/>
              <w:t>Al mismo tiempo se produce la coexistencia de actividades que provienen de países que no han ratificado tratado alguno y que, por lo tanto, se hallan fuera de la acción de la justicia. Son los llamados paraísos fiscales, que ahora se han reciclado para convertirse en paraísos informáticos.</w:t>
            </w:r>
            <w:r w:rsidRPr="001B7F27">
              <w:rPr>
                <w:rFonts w:ascii="Arial" w:eastAsia="Times New Roman" w:hAnsi="Arial" w:cs="Arial"/>
                <w:color w:val="003399"/>
                <w:sz w:val="17"/>
                <w:szCs w:val="17"/>
                <w:lang w:eastAsia="es-AR"/>
              </w:rPr>
              <w:br/>
              <w:t>Estos territorios son los elegidos para ubicar servidores que albergan cualquier tipo de negocio cuya ilegalidad sea evidente en la mayoría de los países desarrollados, por ejemplo, casinos virtuales, bancos de datos personales, venta de productos farmacéuticos no autorizados, blanqueo de dinero, etc. Esta situación dificulta la reclamación judicial de los delitos económicos asociados al comercio electrónico en Internet.</w:t>
            </w:r>
            <w:r w:rsidRPr="001B7F27">
              <w:rPr>
                <w:rFonts w:ascii="Arial" w:eastAsia="Times New Roman" w:hAnsi="Arial" w:cs="Arial"/>
                <w:color w:val="003399"/>
                <w:sz w:val="17"/>
                <w:szCs w:val="17"/>
                <w:lang w:eastAsia="es-AR"/>
              </w:rPr>
              <w:br/>
              <w:t>Especial atención merece la fuerza vinculante de los contratos on line. La primera decisión judicial relativa a la validez de los contratos celebrados a través de Internet fue dictada por un Tribunal de California.</w:t>
            </w:r>
            <w:r w:rsidRPr="001B7F27">
              <w:rPr>
                <w:rFonts w:ascii="Arial" w:eastAsia="Times New Roman" w:hAnsi="Arial" w:cs="Arial"/>
                <w:color w:val="003399"/>
                <w:sz w:val="17"/>
                <w:szCs w:val="17"/>
                <w:lang w:eastAsia="es-AR"/>
              </w:rPr>
              <w:br/>
              <w:t xml:space="preserve">Hotmail había demandado a una empresa que utilizaba su servicio de correo electrónico para enviar publicidad no solicitada y basaba su reclamación en un incumplimiento de las condiciones generales de contratación que había aceptado on line, al contratar su cuenta de correo electrónico en Hotmail. Se trata de los contratos utilizados </w:t>
            </w:r>
            <w:r w:rsidRPr="001B7F27">
              <w:rPr>
                <w:rFonts w:ascii="Arial" w:eastAsia="Times New Roman" w:hAnsi="Arial" w:cs="Arial"/>
                <w:color w:val="003399"/>
                <w:sz w:val="17"/>
                <w:szCs w:val="17"/>
                <w:lang w:eastAsia="es-AR"/>
              </w:rPr>
              <w:lastRenderedPageBreak/>
              <w:t xml:space="preserve">habitualmente en el comercio electrónico a través de Internet, basados en la presentación de un texto que incluye las condiciones en las que se va a prestar el servicio o se va a suministrar el producto, con un botón en el que aparece el texto “Aceptar”, “OK” o “Estoy de acuerdo”; son los llamados click wrap contracts o point and click agreements, ya que basan su validez en el acto de pulsar el botón de aceptación por parte del usuario: la dificultad de este tipo de acuerdos es que no existe una firma o una muestra de consentimiento que se conserve como prueba de aceptación del usuario. </w:t>
            </w:r>
            <w:r w:rsidRPr="001B7F27">
              <w:rPr>
                <w:rFonts w:ascii="Arial" w:eastAsia="Times New Roman" w:hAnsi="Arial" w:cs="Arial"/>
                <w:color w:val="003399"/>
                <w:sz w:val="17"/>
                <w:szCs w:val="17"/>
                <w:lang w:eastAsia="es-AR"/>
              </w:rPr>
              <w:br/>
              <w:t>El principal problema de los contratos electrónicos radica en la prueba de la aceptación de las cláusulas. Al igual que en el software empaquetado, en el que se ha puesto en duda la validez del consentimiento prestado con la simple rotura del envoltorio en el que van los soportes magnéticos u ópticos, en el contrato on line nos encontramos dos tipos de dificultades: la demostración de que el usuario ha leído y ha aceptado las condiciones generales de contratación y la problemática inherente al contrato de adhesión.</w:t>
            </w:r>
            <w:r w:rsidRPr="001B7F27">
              <w:rPr>
                <w:rFonts w:ascii="Arial" w:eastAsia="Times New Roman" w:hAnsi="Arial" w:cs="Arial"/>
                <w:color w:val="003399"/>
                <w:sz w:val="17"/>
                <w:szCs w:val="17"/>
                <w:lang w:eastAsia="es-AR"/>
              </w:rPr>
              <w:br/>
              <w:t>Para demostrar que las condiciones generales de contratación se hallan en una pantalla que aparecerá siempre antes de un formulario de pedido, se recomienda solicitar a un Notario que levante acta de tal circunstancia. Es conveniente que el notario acceda a la página web a través de la propia red y no desde el servidor en el que está albergada la página web. De esta forma, podrá acreditar que lo visualizado en su monitor es lo que aparece habitualmente cuando un usuario accede a través de Internet.</w:t>
            </w:r>
            <w:r w:rsidRPr="001B7F27">
              <w:rPr>
                <w:rFonts w:ascii="Arial" w:eastAsia="Times New Roman" w:hAnsi="Arial" w:cs="Arial"/>
                <w:color w:val="003399"/>
                <w:sz w:val="17"/>
                <w:szCs w:val="17"/>
                <w:lang w:eastAsia="es-AR"/>
              </w:rPr>
              <w:br/>
              <w:t>Los puntos que deben ser comprobados por el Notario y reflejados en el acta son:</w:t>
            </w:r>
            <w:r w:rsidRPr="001B7F27">
              <w:rPr>
                <w:rFonts w:ascii="Arial" w:eastAsia="Times New Roman" w:hAnsi="Arial" w:cs="Arial"/>
                <w:color w:val="003399"/>
                <w:sz w:val="17"/>
                <w:szCs w:val="17"/>
                <w:lang w:eastAsia="es-AR"/>
              </w:rPr>
              <w:br/>
              <w:t>Que antes de que el usuario pueda efectuar el pedido aparece una pantalla en la que se pueden leer las condiciones generales de la contratación. El contenido de la pantalla se imprime en el mismo acto y se agrega al protocolo notarial.</w:t>
            </w:r>
            <w:r w:rsidRPr="001B7F27">
              <w:rPr>
                <w:rFonts w:ascii="Arial" w:eastAsia="Times New Roman" w:hAnsi="Arial" w:cs="Arial"/>
                <w:color w:val="003399"/>
                <w:sz w:val="17"/>
                <w:szCs w:val="17"/>
                <w:lang w:eastAsia="es-AR"/>
              </w:rPr>
              <w:br/>
              <w:t>La única forma de que desaparezca dicha pantalla es presionando en una imagen rectangular en forma de tecla, en la que aparece el texto “He leído y aceptado las condiciones de contratación de esta pantalla”.</w:t>
            </w:r>
            <w:r w:rsidRPr="001B7F27">
              <w:rPr>
                <w:rFonts w:ascii="Arial" w:eastAsia="Times New Roman" w:hAnsi="Arial" w:cs="Arial"/>
                <w:color w:val="003399"/>
                <w:sz w:val="17"/>
                <w:szCs w:val="17"/>
                <w:lang w:eastAsia="es-AR"/>
              </w:rPr>
              <w:br/>
              <w:t>Tras presionar dicha tecla aparece un formulario en el que se pueden indicar los bienes y servicios que el usuario desea contratar.</w:t>
            </w:r>
            <w:r w:rsidRPr="001B7F27">
              <w:rPr>
                <w:rFonts w:ascii="Arial" w:eastAsia="Times New Roman" w:hAnsi="Arial" w:cs="Arial"/>
                <w:color w:val="003399"/>
                <w:sz w:val="17"/>
                <w:szCs w:val="17"/>
                <w:lang w:eastAsia="es-AR"/>
              </w:rPr>
              <w:br/>
              <w:t>Es evidente que la situación descrita en el acta notarial puede cambiar al día siguiente, lo cual invalidaría el efecto probatorio de este trámite, por lo que se aconsejan las siguientes medidas adicionales:</w:t>
            </w:r>
            <w:r w:rsidRPr="001B7F27">
              <w:rPr>
                <w:rFonts w:ascii="Arial" w:eastAsia="Times New Roman" w:hAnsi="Arial" w:cs="Arial"/>
                <w:color w:val="003399"/>
                <w:sz w:val="17"/>
                <w:szCs w:val="17"/>
                <w:lang w:eastAsia="es-AR"/>
              </w:rPr>
              <w:br/>
              <w:t>Notificar al Notario cualquier cambio en la estructura y contenido de la pantalla de aceptación de las condiciones generales de la contratación, con el fin de que se levante una nueva acta notarial.</w:t>
            </w:r>
            <w:r w:rsidRPr="001B7F27">
              <w:rPr>
                <w:rFonts w:ascii="Arial" w:eastAsia="Times New Roman" w:hAnsi="Arial" w:cs="Arial"/>
                <w:color w:val="003399"/>
                <w:sz w:val="17"/>
                <w:szCs w:val="17"/>
                <w:lang w:eastAsia="es-AR"/>
              </w:rPr>
              <w:br/>
              <w:t>Requerir al Notario para que, de forma periódica y sin previa comunicación al requirente, acceda a la página web de la empresa y certifique que la estructura y el contenido de la pantalla de aceptación de las condiciones generales de la contratación permanecen con las mismas características que las expresadas en el acta inicial.</w:t>
            </w:r>
            <w:r w:rsidRPr="001B7F27">
              <w:rPr>
                <w:rFonts w:ascii="Arial" w:eastAsia="Times New Roman" w:hAnsi="Arial" w:cs="Arial"/>
                <w:color w:val="003399"/>
                <w:sz w:val="17"/>
                <w:szCs w:val="17"/>
                <w:lang w:eastAsia="es-AR"/>
              </w:rPr>
              <w:br/>
              <w:t>La legislación comunitaria tampoco delimita el ámbito de aplicación negocial de la firma digital. Así y, prescindiendo de definiciones jurídicas y doctrinales sobre las clases de firmas electrónicas, podríamos definir, de modo sencillo y en una primera aproximación, la firma electrónica como aquella que se incluye en un documento electrónico.</w:t>
            </w:r>
            <w:r w:rsidRPr="001B7F27">
              <w:rPr>
                <w:rFonts w:ascii="Arial" w:eastAsia="Times New Roman" w:hAnsi="Arial" w:cs="Arial"/>
                <w:color w:val="003399"/>
                <w:sz w:val="17"/>
                <w:szCs w:val="17"/>
                <w:lang w:eastAsia="es-AR"/>
              </w:rPr>
              <w:br/>
              <w:t>Esto nos conduce a definir, necesariamente, lo que se entiende por firma. En este sentido, para la Real Academia Española, firma es: “Nombre y apellido o título de una persona que ésta pone con rúbrica al pie de un documento escrito de mano propia o ajena para darle autenticidad o para obligarse a lo que él se dice”.</w:t>
            </w:r>
            <w:r w:rsidRPr="001B7F27">
              <w:rPr>
                <w:rFonts w:ascii="Arial" w:eastAsia="Times New Roman" w:hAnsi="Arial" w:cs="Arial"/>
                <w:color w:val="003399"/>
                <w:sz w:val="17"/>
                <w:szCs w:val="17"/>
                <w:lang w:eastAsia="es-AR"/>
              </w:rPr>
              <w:br/>
              <w:t>Tradicionalmente se le han asignado a la firma las siguientes funciones esenciales:</w:t>
            </w:r>
            <w:r w:rsidRPr="001B7F27">
              <w:rPr>
                <w:rFonts w:ascii="Arial" w:eastAsia="Times New Roman" w:hAnsi="Arial" w:cs="Arial"/>
                <w:color w:val="003399"/>
                <w:sz w:val="17"/>
                <w:szCs w:val="17"/>
                <w:lang w:eastAsia="es-AR"/>
              </w:rPr>
              <w:br/>
              <w:t>a) Mecanismo de identificación del sujeto firmante;</w:t>
            </w:r>
            <w:r w:rsidRPr="001B7F27">
              <w:rPr>
                <w:rFonts w:ascii="Arial" w:eastAsia="Times New Roman" w:hAnsi="Arial" w:cs="Arial"/>
                <w:color w:val="003399"/>
                <w:sz w:val="17"/>
                <w:szCs w:val="17"/>
                <w:lang w:eastAsia="es-AR"/>
              </w:rPr>
              <w:br/>
              <w:t>b) Signo aparente de la asunción o conformidad del contenido del documento en el que se incorpora la firma. Ello implica considerar la firma como la expresión de una voluntad y como un mecanismo de autenticación del contenido del documento firmado.</w:t>
            </w:r>
            <w:r w:rsidRPr="001B7F27">
              <w:rPr>
                <w:rFonts w:ascii="Arial" w:eastAsia="Times New Roman" w:hAnsi="Arial" w:cs="Arial"/>
                <w:color w:val="003399"/>
                <w:sz w:val="17"/>
                <w:szCs w:val="17"/>
                <w:lang w:eastAsia="es-AR"/>
              </w:rPr>
              <w:br/>
              <w:t>Por ello, todo documento que requiera de la identificación del sujeto o de la expresión de su voluntad, puede ser firmado. Esto nos da la impresión de que, al igual que la firma se emplea en todo el ámbito negocial y contractual, la firma electrónica se podría emplear en todo el ámbito negocial y contractual que se realizará a través de medios electrónicos, telemáticos o informáticos. Sus efectos serán diferentes dependiendo de que la firma electrónica sea o no, avanzada.</w:t>
            </w:r>
            <w:r w:rsidRPr="001B7F27">
              <w:rPr>
                <w:rFonts w:ascii="Arial" w:eastAsia="Times New Roman" w:hAnsi="Arial" w:cs="Arial"/>
                <w:color w:val="003399"/>
                <w:sz w:val="17"/>
                <w:szCs w:val="17"/>
                <w:lang w:eastAsia="es-AR"/>
              </w:rPr>
              <w:br/>
              <w:t>Los tres conceptos básicos: servicios de la sociedad de información, comercio electrónico y firma electrónica se relacionan e interconectan en el sentido de que el comercio electrónico es uno de los vehículos fundamentales, a través del que se prestan los servicios de la sociedad de la información. A su vez, el comercio electrónico se sirve de la firma electrónica, como mecanismo de identificación y suscripción de las voluntades de los sujetos, que realizan la contratación electrónica.</w:t>
            </w:r>
            <w:r w:rsidRPr="001B7F27">
              <w:rPr>
                <w:rFonts w:ascii="Arial" w:eastAsia="Times New Roman" w:hAnsi="Arial" w:cs="Arial"/>
                <w:color w:val="003399"/>
                <w:sz w:val="17"/>
                <w:szCs w:val="17"/>
                <w:lang w:eastAsia="es-AR"/>
              </w:rPr>
              <w:br/>
              <w:t>La responsabilidad civil por los contenidos de las páginas web, debe comprender tanto la responsabilidad civil contractual como extracontractual, responsabilidad por los contenidos ilícitos o nocivos introducidos en la red, por los links y por los productos o servicios defectuosos.</w:t>
            </w:r>
            <w:r w:rsidRPr="001B7F27">
              <w:rPr>
                <w:rFonts w:ascii="Arial" w:eastAsia="Times New Roman" w:hAnsi="Arial" w:cs="Arial"/>
                <w:color w:val="003399"/>
                <w:sz w:val="17"/>
                <w:szCs w:val="17"/>
                <w:lang w:eastAsia="es-AR"/>
              </w:rPr>
              <w:br/>
              <w:t xml:space="preserve">El aspecto impositivo constituye uno de los aspectos más fácilmente vulnerables a la hora de hablar de contratación electrónica, especialmente porque surge una problemática derivada de la fiscalidad indirecta. </w:t>
            </w:r>
            <w:r w:rsidRPr="001B7F27">
              <w:rPr>
                <w:rFonts w:ascii="Arial" w:eastAsia="Times New Roman" w:hAnsi="Arial" w:cs="Arial"/>
                <w:color w:val="003399"/>
                <w:sz w:val="17"/>
                <w:szCs w:val="17"/>
                <w:lang w:eastAsia="es-AR"/>
              </w:rPr>
              <w:br/>
              <w:t>En cuanto a la aplicación extraterritorial del IVA, la línea de conducta europea tiende a establecer que los servicios de telecomunicación tributen en el lugar donde radique la sede o establecimiento permanente del destinatario, salvo que éste no tenga la condición de empresario o profesional y resida en un Estado miembro, en cuyo caso se aplicará el criterio de la sede del prestador.</w:t>
            </w:r>
            <w:r w:rsidRPr="001B7F27">
              <w:rPr>
                <w:rFonts w:ascii="Arial" w:eastAsia="Times New Roman" w:hAnsi="Arial" w:cs="Arial"/>
                <w:color w:val="003399"/>
                <w:sz w:val="17"/>
                <w:szCs w:val="17"/>
                <w:lang w:eastAsia="es-AR"/>
              </w:rPr>
              <w:br/>
              <w:t>Las facilidades ofrecidas por el medio en el que se desarrolla el comercio electrónico, hacen que proliferen los delitos relacionados con el mismo, tales como infracción de Derechos de Autor, estafas electrónicas, daños informáticos, interceptación de telecomunicaciones, uso no autorizado de terminales, revelación de secretos, falsedades documentales, publicidad engañosa o blanqueo de dinero, entre otros.</w:t>
            </w:r>
            <w:r w:rsidRPr="001B7F27">
              <w:rPr>
                <w:rFonts w:ascii="Arial" w:eastAsia="Times New Roman" w:hAnsi="Arial" w:cs="Arial"/>
                <w:color w:val="003399"/>
                <w:sz w:val="17"/>
                <w:szCs w:val="17"/>
                <w:lang w:eastAsia="es-AR"/>
              </w:rPr>
              <w:br/>
              <w:t xml:space="preserve">Los obstáculos con los que se encuentra la represión y prevención de los delitos cometidos por vías informáticas, </w:t>
            </w:r>
            <w:r w:rsidRPr="001B7F27">
              <w:rPr>
                <w:rFonts w:ascii="Arial" w:eastAsia="Times New Roman" w:hAnsi="Arial" w:cs="Arial"/>
                <w:color w:val="003399"/>
                <w:sz w:val="17"/>
                <w:szCs w:val="17"/>
                <w:lang w:eastAsia="es-AR"/>
              </w:rPr>
              <w:lastRenderedPageBreak/>
              <w:t>son el principio de territorialidad en cuanto a la represión penal y la dificultad de persecución de los mismos, derivada, justamente, de la naturaleza global y universal de la red.</w:t>
            </w:r>
            <w:r w:rsidRPr="001B7F27">
              <w:rPr>
                <w:rFonts w:ascii="Arial" w:eastAsia="Times New Roman" w:hAnsi="Arial" w:cs="Arial"/>
                <w:color w:val="003399"/>
                <w:sz w:val="17"/>
                <w:szCs w:val="17"/>
                <w:lang w:eastAsia="es-AR"/>
              </w:rPr>
              <w:br/>
              <w:t>6. El funcionamiento de la firma electrónica</w:t>
            </w:r>
            <w:r w:rsidRPr="001B7F27">
              <w:rPr>
                <w:rFonts w:ascii="Arial" w:eastAsia="Times New Roman" w:hAnsi="Arial" w:cs="Arial"/>
                <w:color w:val="003399"/>
                <w:sz w:val="17"/>
                <w:szCs w:val="17"/>
                <w:lang w:eastAsia="es-AR"/>
              </w:rPr>
              <w:br/>
              <w:t>Cuando Scott Mc Nealy, Presidente de Sun Microsystems y miembro de la llamada Alianza por la privacidad en las redes, dijo: “No hay privacidad, más vale que se acostumbren”, obviamente no estaba lejos de la realidad, pero no había caído en la cuenta que existen métodos seguros para lograr la tan anhelada privacidad y que se remontan al antiguo Egipto.</w:t>
            </w:r>
            <w:r w:rsidRPr="001B7F27">
              <w:rPr>
                <w:rFonts w:ascii="Arial" w:eastAsia="Times New Roman" w:hAnsi="Arial" w:cs="Arial"/>
                <w:color w:val="003399"/>
                <w:sz w:val="17"/>
                <w:szCs w:val="17"/>
                <w:lang w:eastAsia="es-AR"/>
              </w:rPr>
              <w:br/>
              <w:t>Históricamente, la necesidad de enmascarar el contenido de los documentos o mensajes destinados a determinadas personas, ha sido una constante: desde la escritura hierática de los sacerdotes egipcios, pasando por los códigos secretos manejados por militares espartanos o el algoritmo de César, hasta los mensajes secretos utilizados como un arma más de combate durante la Segunda Guerra Mundial.</w:t>
            </w:r>
            <w:r w:rsidRPr="001B7F27">
              <w:rPr>
                <w:rFonts w:ascii="Arial" w:eastAsia="Times New Roman" w:hAnsi="Arial" w:cs="Arial"/>
                <w:color w:val="003399"/>
                <w:sz w:val="17"/>
                <w:szCs w:val="17"/>
                <w:lang w:eastAsia="es-AR"/>
              </w:rPr>
              <w:br/>
              <w:t>La criptografía se define, precisamente, como el conjunto de formas de crear mensajes secretos y tiene su reverso en el criptoanálisis, el cual se ocupa de descifrar el mensaje, desvelando su misterio. Hace años dejó de ser un arte para convertirse en una técnica, o mejor, en un conglomerado de técnicas cuyo objetivo común es la protección de la información. Cabe señalar el nacimiento de la moderna criptografía en la guerra de 1939-1945, con la máquina de rotores ENIGMA, que, aunque construida con anterioridad, fue utilizada a gran escala en la contienda por el ejército alemán para enviar mensajes secretos. El aspecto externo de la máquina era similar al de una máquina de escribir y, quien quisiera codificar un mensaje, lo tecleaba y, en el papel aparecía cifrado.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Posteriormente, serán los servicios de inteligencia de las grandes potencias los que durante la Guerra Fría desarrollen las modernas técnicas de codificación y criptoanálisis por medio de las cada vez más sofisticadas computadoras.</w:t>
            </w:r>
            <w:r w:rsidRPr="001B7F27">
              <w:rPr>
                <w:rFonts w:ascii="Arial" w:eastAsia="Times New Roman" w:hAnsi="Arial" w:cs="Arial"/>
                <w:color w:val="003399"/>
                <w:sz w:val="17"/>
                <w:szCs w:val="17"/>
                <w:lang w:eastAsia="es-AR"/>
              </w:rPr>
              <w:br/>
              <w:t xml:space="preserve">Al llegar a la computadora persona y a Internet, todos sentimos la necesidad de transmitir información segura y la criptografía desciende al hombre de la calle, dejando de ser una exclusiva cuestión militar o de seguridad nacional. </w:t>
            </w:r>
            <w:r w:rsidRPr="001B7F27">
              <w:rPr>
                <w:rFonts w:ascii="Arial" w:eastAsia="Times New Roman" w:hAnsi="Arial" w:cs="Arial"/>
                <w:color w:val="003399"/>
                <w:sz w:val="17"/>
                <w:szCs w:val="17"/>
                <w:lang w:eastAsia="es-AR"/>
              </w:rPr>
              <w:br/>
              <w:t>Coincidimos con Lucena en que la red obliga no sólo al profesional, sino al ciudadano medio, a tener unos conocimientos básicos sobre seguridad.</w:t>
            </w:r>
            <w:r w:rsidRPr="001B7F27">
              <w:rPr>
                <w:rFonts w:ascii="Arial" w:eastAsia="Times New Roman" w:hAnsi="Arial" w:cs="Arial"/>
                <w:color w:val="003399"/>
                <w:sz w:val="17"/>
                <w:szCs w:val="17"/>
                <w:lang w:eastAsia="es-AR"/>
              </w:rPr>
              <w:br/>
              <w:t>La técnica criptográfica codifica la información por medio de un algoritmo matemático. Transforma aquélla, inicialmente un texto claro, en otro ininteligible. Es lo que se denomina cifrar o codificar, y la operación contraria, volver a hacer comprensible el mensaje es, por tanto, descifrar o descodificar. No se trata de que el algoritmo, fórmula matemática, codifique el mensaje, sino que por medio de él se crean las claves que provocan estos efectos. Es como el molde o forja de las mismas, de suerte que con el mismo algoritmo pueden generarse multitud de claves.</w:t>
            </w:r>
            <w:r w:rsidRPr="001B7F27">
              <w:rPr>
                <w:rFonts w:ascii="Arial" w:eastAsia="Times New Roman" w:hAnsi="Arial" w:cs="Arial"/>
                <w:color w:val="003399"/>
                <w:sz w:val="17"/>
                <w:szCs w:val="17"/>
                <w:lang w:eastAsia="es-AR"/>
              </w:rPr>
              <w:br/>
              <w:t>Los mecanismos de cifrado y descifrado precisan de esta contraseña o clave, las cuales, aplicadas al mensaje, bien lo volverán ilegible, bien lo devolverán a su estado inicial. En una primera fase de la evolución tecnológica, la clave para cifrar era la misma que para descifrar, constituyendo un sistema que se conoce como criptografía simétrica. En él, tanto el emisor como el receptor aplican la misma clave, por lo que ésta debe permanecer secreta para los demás.</w:t>
            </w:r>
            <w:r w:rsidRPr="001B7F27">
              <w:rPr>
                <w:rFonts w:ascii="Arial" w:eastAsia="Times New Roman" w:hAnsi="Arial" w:cs="Arial"/>
                <w:color w:val="003399"/>
                <w:sz w:val="17"/>
                <w:szCs w:val="17"/>
                <w:lang w:eastAsia="es-AR"/>
              </w:rPr>
              <w:br/>
              <w:t>A mediados de los años setenta, se inventan los algoritmos asimétricos, los cuales presentan como fundamental innovación, que no generan la misma clave, sino dos, que son complementarias. Ambas claves no pueden ser conocidas públicamente, desde luego, pero tampoco pueden permanecer completamente ocultas. El método consiste en que una de ellas se de a conocer a todos los posibles interesados por los medios que se estimen convenientes y la otra, por el contrario, permanezca en secreto.</w:t>
            </w:r>
            <w:r w:rsidRPr="001B7F27">
              <w:rPr>
                <w:rFonts w:ascii="Arial" w:eastAsia="Times New Roman" w:hAnsi="Arial" w:cs="Arial"/>
                <w:color w:val="003399"/>
                <w:sz w:val="17"/>
                <w:szCs w:val="17"/>
                <w:lang w:eastAsia="es-AR"/>
              </w:rPr>
              <w:br/>
              <w:t>Existen muchos algoritmos asimétricos, siendo el más conocido y utilizado el RSA que, es ahora mismo, y de hecho, el básico para fines comerciales, por su virtual impenetrabilidad al día de hoy y con los medios existentes.</w:t>
            </w:r>
            <w:r w:rsidRPr="001B7F27">
              <w:rPr>
                <w:rFonts w:ascii="Arial" w:eastAsia="Times New Roman" w:hAnsi="Arial" w:cs="Arial"/>
                <w:color w:val="003399"/>
                <w:sz w:val="17"/>
                <w:szCs w:val="17"/>
                <w:lang w:eastAsia="es-AR"/>
              </w:rPr>
              <w:br/>
              <w:t>El sistema de claves asimétricas proporciona confidencialidad en las comunicaciones; el destinatario de la información sabe que el emisor sólo puede ser aquél que posea la clave privada y cuya identidad, en principio, conoce. Por otra parte, al estar codificado el mensaje, queda a salvo de posibles modificaciones o alteraciones, que resultarían evidentes al descifrar el mismo, de modo que se da la concurrencia de los siguientes principios imprescindibles para lograr una comunicación segura:</w:t>
            </w:r>
            <w:r w:rsidRPr="001B7F27">
              <w:rPr>
                <w:rFonts w:ascii="Arial" w:eastAsia="Times New Roman" w:hAnsi="Arial" w:cs="Arial"/>
                <w:color w:val="003399"/>
                <w:sz w:val="17"/>
                <w:szCs w:val="17"/>
                <w:lang w:eastAsia="es-AR"/>
              </w:rPr>
              <w:br/>
              <w:t>a) Confidencialidad, por estar cifrado el mensaje.</w:t>
            </w:r>
            <w:r w:rsidRPr="001B7F27">
              <w:rPr>
                <w:rFonts w:ascii="Arial" w:eastAsia="Times New Roman" w:hAnsi="Arial" w:cs="Arial"/>
                <w:color w:val="003399"/>
                <w:sz w:val="17"/>
                <w:szCs w:val="17"/>
                <w:lang w:eastAsia="es-AR"/>
              </w:rPr>
              <w:br/>
              <w:t>b) Identificación del emisor.</w:t>
            </w:r>
            <w:r w:rsidRPr="001B7F27">
              <w:rPr>
                <w:rFonts w:ascii="Arial" w:eastAsia="Times New Roman" w:hAnsi="Arial" w:cs="Arial"/>
                <w:color w:val="003399"/>
                <w:sz w:val="17"/>
                <w:szCs w:val="17"/>
                <w:lang w:eastAsia="es-AR"/>
              </w:rPr>
              <w:br/>
              <w:t>c) Integridad del mensaje.</w:t>
            </w:r>
            <w:r w:rsidRPr="001B7F27">
              <w:rPr>
                <w:rFonts w:ascii="Arial" w:eastAsia="Times New Roman" w:hAnsi="Arial" w:cs="Arial"/>
                <w:color w:val="003399"/>
                <w:sz w:val="17"/>
                <w:szCs w:val="17"/>
                <w:lang w:eastAsia="es-AR"/>
              </w:rPr>
              <w:br/>
              <w:t>La codificación de todo el mensaje, sobre todo si es largo y complejo, podría ser costosa e incluso dificultar la utilización del sistema en la práctica. Por eso, lo que se hace antes de remitir la información, es obtener una especie de resumen, que consiste en tomar una muestra del mensaje antes de ser enviado y obtener otra, después de recibirlo, comparando ambas para saber si son iguales. Esta función se efectúa por medio de otro algoritmo, llamado función de hash. El resumen del documento obtenido a través de este nuevo algoritmo es irreversible y único para cada mensaje.</w:t>
            </w:r>
            <w:r w:rsidRPr="001B7F27">
              <w:rPr>
                <w:rFonts w:ascii="Arial" w:eastAsia="Times New Roman" w:hAnsi="Arial" w:cs="Arial"/>
                <w:color w:val="003399"/>
                <w:sz w:val="17"/>
                <w:szCs w:val="17"/>
                <w:lang w:eastAsia="es-AR"/>
              </w:rPr>
              <w:br/>
              <w:t xml:space="preserve">La firma electrónica funciona, entonces, de la siguiente manera: </w:t>
            </w:r>
            <w:r w:rsidRPr="001B7F27">
              <w:rPr>
                <w:rFonts w:ascii="Arial" w:eastAsia="Times New Roman" w:hAnsi="Arial" w:cs="Arial"/>
                <w:color w:val="003399"/>
                <w:sz w:val="17"/>
                <w:szCs w:val="17"/>
                <w:lang w:eastAsia="es-AR"/>
              </w:rPr>
              <w:br/>
              <w:t>a) Se obtiene, antes del envío, un resumen del mensaje y, el conjunto que va a ser transmitido se compone de mensaje y resumen.</w:t>
            </w:r>
            <w:r w:rsidRPr="001B7F27">
              <w:rPr>
                <w:rFonts w:ascii="Arial" w:eastAsia="Times New Roman" w:hAnsi="Arial" w:cs="Arial"/>
                <w:color w:val="003399"/>
                <w:sz w:val="17"/>
                <w:szCs w:val="17"/>
                <w:lang w:eastAsia="es-AR"/>
              </w:rPr>
              <w:br/>
              <w:t>b) Mediante un mecanismo denominado seguro emisor, del destinatario de la información sabe que el emisor sólo puede ser aquél que posea la clave privada y cuya identidad, en principio, conoce. El resumen queda codificado con la clave privada del emisor.</w:t>
            </w:r>
            <w:r w:rsidRPr="001B7F27">
              <w:rPr>
                <w:rFonts w:ascii="Arial" w:eastAsia="Times New Roman" w:hAnsi="Arial" w:cs="Arial"/>
                <w:color w:val="003399"/>
                <w:sz w:val="17"/>
                <w:szCs w:val="17"/>
                <w:lang w:eastAsia="es-AR"/>
              </w:rPr>
              <w:br/>
              <w:t>c) El conjunto es ahora el mensaje y el resumen codificado con la clave privada del emisor. Este conjunto podrá enviarse sin encriptar o bien, encriptado. Si se decide encriptarlo, se utilizará el mecanismo de sobre seguro, codificando el envío total, con la clave pública del destinatario o receptor, no la del emisor, por lo tanto: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c.1) Si no se quiere confidencialidad, el envío se compone del mensaje en claro y del resumen, siempre codificado con la clave privada del emitente o emisor.</w:t>
            </w:r>
            <w:r w:rsidRPr="001B7F27">
              <w:rPr>
                <w:rFonts w:ascii="Arial" w:eastAsia="Times New Roman" w:hAnsi="Arial" w:cs="Arial"/>
                <w:color w:val="003399"/>
                <w:sz w:val="17"/>
                <w:szCs w:val="17"/>
                <w:lang w:eastAsia="es-AR"/>
              </w:rPr>
              <w:br/>
              <w:t xml:space="preserve">c.2) En caso que sí se desee, el mensaje y el resumen se envían codificados con la clave pública del receptor, y el resumen, a su vez, está previamente codificado con la clave privada del emitente o emisor. </w:t>
            </w:r>
            <w:r w:rsidRPr="001B7F27">
              <w:rPr>
                <w:rFonts w:ascii="Arial" w:eastAsia="Times New Roman" w:hAnsi="Arial" w:cs="Arial"/>
                <w:color w:val="003399"/>
                <w:sz w:val="17"/>
                <w:szCs w:val="17"/>
                <w:lang w:eastAsia="es-AR"/>
              </w:rPr>
              <w:br/>
              <w:t>d) El destinatario recibirá el mensaje y el resumen de una de las dos maneras indicadas, y actuará de la siguiente manera:</w:t>
            </w:r>
            <w:r w:rsidRPr="001B7F27">
              <w:rPr>
                <w:rFonts w:ascii="Arial" w:eastAsia="Times New Roman" w:hAnsi="Arial" w:cs="Arial"/>
                <w:color w:val="003399"/>
                <w:sz w:val="17"/>
                <w:szCs w:val="17"/>
                <w:lang w:eastAsia="es-AR"/>
              </w:rPr>
              <w:br/>
              <w:t xml:space="preserve">d.1) Si el conjunto de mensaje y resumen se ha enviado encriptado, como ha sido codificado con la clave pública del propio receptor, a éste le bastará con aplicar su clave privada para conocer el contenido y ambos, emisor y receptor, tienen la certeza de que el mensaje sólo ha sido conocido por ellos dos, dado que, únicamente con dicha clave privada es factible descifrarlo. Este es el sistema de sobre seguro, que permite que los mensajes sean confidenciales. Si el mensaje no se ha codificado, se puede conocer, sin más, su contenido, aunque no todavía el del resumen, que sigue codificado con la clave privada del emisor. </w:t>
            </w:r>
            <w:r w:rsidRPr="001B7F27">
              <w:rPr>
                <w:rFonts w:ascii="Arial" w:eastAsia="Times New Roman" w:hAnsi="Arial" w:cs="Arial"/>
                <w:color w:val="003399"/>
                <w:sz w:val="17"/>
                <w:szCs w:val="17"/>
                <w:lang w:eastAsia="es-AR"/>
              </w:rPr>
              <w:br/>
              <w:t>d.2) Una vez que el mensaje está claro, el destinatario debe obtener una nueva muestra del mensaje y, para ello, acudirá a la función de hash, que empleó el emisor. En ese momento, dispondrá de dos muestras del mensaje: la remitida con él, por el emisor – todavía codificada por éste con su clave privada – y la que, personalmente, ha obtenido después de la recepción del mensaje.</w:t>
            </w:r>
            <w:r w:rsidRPr="001B7F27">
              <w:rPr>
                <w:rFonts w:ascii="Arial" w:eastAsia="Times New Roman" w:hAnsi="Arial" w:cs="Arial"/>
                <w:color w:val="003399"/>
                <w:sz w:val="17"/>
                <w:szCs w:val="17"/>
                <w:lang w:eastAsia="es-AR"/>
              </w:rPr>
              <w:br/>
              <w:t xml:space="preserve">d.3) Acto seguido, procederá a descodificar la muestra recibida con el mensaje. Como se encriptó con la clave privada del emisor, deberá seguir el proceso inverso, usando la clave pública del mismo emitente. Sabemos que, de acuerdo con el sistema de seguro emisor, si se descodifica con una determinada clave pública, es que el mensaje ha sido codificado con la clave privada complementaria, por lo que el receptor tiene la certeza de que el resumen enviado ha sido codificado con la clave privada. De lo que no se tiene seguridad, por lo menos, hasta este punto, es de que la clave privada y pública, sean propiedad de quien dice ser titular de las mismas, porque eso está más allá de las ciencias matemáticas. </w:t>
            </w:r>
            <w:r w:rsidRPr="001B7F27">
              <w:rPr>
                <w:rFonts w:ascii="Arial" w:eastAsia="Times New Roman" w:hAnsi="Arial" w:cs="Arial"/>
                <w:color w:val="003399"/>
                <w:sz w:val="17"/>
                <w:szCs w:val="17"/>
                <w:lang w:eastAsia="es-AR"/>
              </w:rPr>
              <w:br/>
              <w:t>d.4) El destinatario comparará el resumen recibido con el que él ha producido y, si son iguales, sabrá que el mensaje no ha sufrido alteraciones en el camino; si por el contrario, no coinciden, habrá que suponer que se ha efectuado una manipulación, o incluso, suplantación de aquél, por lo que el mensaje debe ser rechazado.</w:t>
            </w:r>
            <w:r w:rsidRPr="001B7F27">
              <w:rPr>
                <w:rFonts w:ascii="Arial" w:eastAsia="Times New Roman" w:hAnsi="Arial" w:cs="Arial"/>
                <w:color w:val="003399"/>
                <w:sz w:val="17"/>
                <w:szCs w:val="17"/>
                <w:lang w:eastAsia="es-AR"/>
              </w:rPr>
              <w:br/>
              <w:t>Todo este mecanismo es el que se conoce como firma electrónica, la cual, como vemos, está basada en algoritmos matemáticos y encriptación, por medio de claves. En el futuro y, dependiendo de la evolución tecnológica, quizás tenga un fundamento completamente distinto.</w:t>
            </w:r>
            <w:r w:rsidRPr="001B7F27">
              <w:rPr>
                <w:rFonts w:ascii="Arial" w:eastAsia="Times New Roman" w:hAnsi="Arial" w:cs="Arial"/>
                <w:color w:val="003399"/>
                <w:sz w:val="17"/>
                <w:szCs w:val="17"/>
                <w:lang w:eastAsia="es-AR"/>
              </w:rPr>
              <w:br/>
              <w:t>En resumen, la firma electrónica se basa en dos seguridades, con dos naturalezas distintas:</w:t>
            </w:r>
            <w:r w:rsidRPr="001B7F27">
              <w:rPr>
                <w:rFonts w:ascii="Arial" w:eastAsia="Times New Roman" w:hAnsi="Arial" w:cs="Arial"/>
                <w:color w:val="003399"/>
                <w:sz w:val="17"/>
                <w:szCs w:val="17"/>
                <w:lang w:eastAsia="es-AR"/>
              </w:rPr>
              <w:br/>
              <w:t>a) Si se puede descodificar con una clave, es que se codificado con la clave complementaria, por lo que si se descodifica con la clave pública, se ha codificado con la privada; esta seguridad – de carácter técnico – la proporciona la ciencia matemática.</w:t>
            </w:r>
            <w:r w:rsidRPr="001B7F27">
              <w:rPr>
                <w:rFonts w:ascii="Arial" w:eastAsia="Times New Roman" w:hAnsi="Arial" w:cs="Arial"/>
                <w:color w:val="003399"/>
                <w:sz w:val="17"/>
                <w:szCs w:val="17"/>
                <w:lang w:eastAsia="es-AR"/>
              </w:rPr>
              <w:br/>
              <w:t>b) La clave privada pertenece, indubitablemente, a una persona, que está suficientemente identificada y, por tanto, esta persona es el emisor del mensaje. Esta certeza no la puede la técnica, porque es una seguridad jurídica, y por ello hay que arbitrar instituciones adecuadas que certifiquen la titularidad de las claves.</w:t>
            </w:r>
            <w:r w:rsidRPr="001B7F27">
              <w:rPr>
                <w:rFonts w:ascii="Arial" w:eastAsia="Times New Roman" w:hAnsi="Arial" w:cs="Arial"/>
                <w:color w:val="003399"/>
                <w:sz w:val="17"/>
                <w:szCs w:val="17"/>
                <w:lang w:eastAsia="es-AR"/>
              </w:rPr>
              <w:br/>
              <w:t>7. Los prestadores de servicios de certificación</w:t>
            </w:r>
            <w:r w:rsidRPr="001B7F27">
              <w:rPr>
                <w:rFonts w:ascii="Arial" w:eastAsia="Times New Roman" w:hAnsi="Arial" w:cs="Arial"/>
                <w:color w:val="003399"/>
                <w:sz w:val="17"/>
                <w:szCs w:val="17"/>
                <w:lang w:eastAsia="es-AR"/>
              </w:rPr>
              <w:br/>
              <w:t>El medio electrónico es la vía útil y novedosa de relación personal y comercial, pero es inseguro, técnicamente. No es capaz de impedir que terceras personas conozcan el contenido de los mensajes que se mueven por él, no puede, tampoco, evitar, con carácter general, que un mensaje sea manipulado o inventado y no proporciona certidumbre acerca de quién está al otro lado de la red. Una situación anticomercial, en suma.</w:t>
            </w:r>
            <w:r w:rsidRPr="001B7F27">
              <w:rPr>
                <w:rFonts w:ascii="Arial" w:eastAsia="Times New Roman" w:hAnsi="Arial" w:cs="Arial"/>
                <w:color w:val="003399"/>
                <w:sz w:val="17"/>
                <w:szCs w:val="17"/>
                <w:lang w:eastAsia="es-AR"/>
              </w:rPr>
              <w:br/>
              <w:t>Por estas circunstancias y, por la imposibilidad de blindar el mensaje, metiéndolo en un búnker electrónico inexpugnable, se ha optado por hacerlo incomprensible, salvo para aquellos que posean las claves que los hacen inteligibles, por medio de la encriptación: el sistema de las claves asimétricas requiere que una de las dos sea secreta y la otra, pública. Y, ambas claves, además, han de ser atribuidas, de forma irrefutable a una determinada persona; es decir, el titular de las claves debe ser identificado de manera tal que esa identificación genere confianza.</w:t>
            </w:r>
            <w:r w:rsidRPr="001B7F27">
              <w:rPr>
                <w:rFonts w:ascii="Arial" w:eastAsia="Times New Roman" w:hAnsi="Arial" w:cs="Arial"/>
                <w:color w:val="003399"/>
                <w:sz w:val="17"/>
                <w:szCs w:val="17"/>
                <w:lang w:eastAsia="es-AR"/>
              </w:rPr>
              <w:br/>
              <w:t>Hay diversos sistemas propuestos para lograr este objetivo: un registro de claves privadas, que muchos rechazan por lo que tiene de posible ataque a la intimidad; un archivo de claves públicas a disposición de cualquier interesado; una especie de cadena de buena voluntad, en la cual se confía en la clave porque a su vez se confía en quien la envía, pero sin intervención de terceros independientes, sino sujeto a la confianza que merece el que envía la clave y la que le merecemos nosotros, al remitir la nuestra; y, finalmente, el sistema de intervención de terceros independientes, que son prestadores de servicios de certificación, también llamados proveedores de servicios de certificación o autoridades de certificación.</w:t>
            </w:r>
            <w:r w:rsidRPr="001B7F27">
              <w:rPr>
                <w:rFonts w:ascii="Arial" w:eastAsia="Times New Roman" w:hAnsi="Arial" w:cs="Arial"/>
                <w:color w:val="003399"/>
                <w:sz w:val="17"/>
                <w:szCs w:val="17"/>
                <w:lang w:eastAsia="es-AR"/>
              </w:rPr>
              <w:br/>
              <w:t>Se trata de terceros que intervienen en la relación de forma previa a la transmisión de mensajes, puesto que su función es emitir un certificado electrónico, en el que conste que una clave pública – y también privada, naturalmente – es propiedad de una persona concreta, adjuntado en el certificado la identificación de ésta, y otros datos que se consideran adecuados. Los interesados en conocer a quién pertenece un par de claves específico, consultarán este certificado y, si confían en la entidad que lo haya emitido, lo aceptarán como válido.</w:t>
            </w:r>
            <w:r w:rsidRPr="001B7F27">
              <w:rPr>
                <w:rFonts w:ascii="Arial" w:eastAsia="Times New Roman" w:hAnsi="Arial" w:cs="Arial"/>
                <w:color w:val="003399"/>
                <w:sz w:val="17"/>
                <w:szCs w:val="17"/>
                <w:lang w:eastAsia="es-AR"/>
              </w:rPr>
              <w:br/>
              <w:t>Es evidente que un momento importante en la confección del certificado será el de la identificación adecuada del que solicita del prestador su expedición y la asignación, como titular, de un par de claves. En realidad, es la labor más importante, porque todo lo demás es una actividad meramente técnica. El determinar con exactitud quién solicita el certificado, calibrando su capacidad y legitimación en el caso de que represente a un tercero, sea físico o jurídico, es, sencillamente, esencial, y esta labor la realizan las llamadas autoridades de registro, entre las que debe incluirse al Notario, por su propia naturaleza.</w:t>
            </w:r>
            <w:r w:rsidRPr="001B7F27">
              <w:rPr>
                <w:rFonts w:ascii="Arial" w:eastAsia="Times New Roman" w:hAnsi="Arial" w:cs="Arial"/>
                <w:color w:val="003399"/>
                <w:sz w:val="17"/>
                <w:szCs w:val="17"/>
                <w:lang w:eastAsia="es-AR"/>
              </w:rPr>
              <w:br/>
              <w:t xml:space="preserve">Igualmente, necesario es que esa entidad certificante no esté, de ninguna manera, vinculada a las partes que se van a relacionar, tiene que ser verdaderamente un tercero; en el caso contrario, generaría el lógico recelo respecto del </w:t>
            </w:r>
            <w:r w:rsidRPr="001B7F27">
              <w:rPr>
                <w:rFonts w:ascii="Arial" w:eastAsia="Times New Roman" w:hAnsi="Arial" w:cs="Arial"/>
                <w:color w:val="003399"/>
                <w:sz w:val="17"/>
                <w:szCs w:val="17"/>
                <w:lang w:eastAsia="es-AR"/>
              </w:rPr>
              <w:lastRenderedPageBreak/>
              <w:t>contenido de sus certificados.</w:t>
            </w:r>
            <w:r w:rsidRPr="001B7F27">
              <w:rPr>
                <w:rFonts w:ascii="Arial" w:eastAsia="Times New Roman" w:hAnsi="Arial" w:cs="Arial"/>
                <w:color w:val="003399"/>
                <w:sz w:val="17"/>
                <w:szCs w:val="17"/>
                <w:lang w:eastAsia="es-AR"/>
              </w:rPr>
              <w:br/>
              <w:t>Por último, los certificados serán más o menos eficaces en la medida que sus emitentes despierten una mayor o menor sensación de seriedad y honorabilidad, del mismo modo que, por ejemplo, gran parte del prestigio de las mejores casas de subastas estriba en la confianza que merecen sus declaraciones acerca del valor y origen de las obras subastadas, fama lograda por la fuerza de los hechos.</w:t>
            </w:r>
            <w:r w:rsidRPr="001B7F27">
              <w:rPr>
                <w:rFonts w:ascii="Arial" w:eastAsia="Times New Roman" w:hAnsi="Arial" w:cs="Arial"/>
                <w:color w:val="003399"/>
                <w:sz w:val="17"/>
                <w:szCs w:val="17"/>
                <w:lang w:eastAsia="es-AR"/>
              </w:rPr>
              <w:br/>
              <w:t>Con esto no hay que entender que no sean posibles comunicaciones electrónicas basadas en la firma digital, sin la intervención de estos terceros mediadores. Muy por el contrario, una firma digital puede ser eficaz si las partes conocen perfectamente sus respectivas claves públicas, o si no conociéndolas, se fían de la que les comunica el otro por cualquier medio (carta, disquete, fax, etc.) Lo que ocurre es que las que disfruten del aval del tercero independiente, son, en principio, firmas más seguras, que serán susceptibles de producir mayores efectos jurídicos.</w:t>
            </w:r>
            <w:r w:rsidRPr="001B7F27">
              <w:rPr>
                <w:rFonts w:ascii="Arial" w:eastAsia="Times New Roman" w:hAnsi="Arial" w:cs="Arial"/>
                <w:color w:val="003399"/>
                <w:sz w:val="17"/>
                <w:szCs w:val="17"/>
                <w:lang w:eastAsia="es-AR"/>
              </w:rPr>
              <w:br/>
              <w:t>La tendencia generalizada en la legislación que, sobre esta materia se va desarrollando, es la de que los prestadores de servicios de certificación sean empresas privadas que compitan en el libre mercado sin necesidad de previa autorización pública.</w:t>
            </w:r>
            <w:r w:rsidRPr="001B7F27">
              <w:rPr>
                <w:rFonts w:ascii="Arial" w:eastAsia="Times New Roman" w:hAnsi="Arial" w:cs="Arial"/>
                <w:color w:val="003399"/>
                <w:sz w:val="17"/>
                <w:szCs w:val="17"/>
                <w:lang w:eastAsia="es-AR"/>
              </w:rPr>
              <w:br/>
              <w:t xml:space="preserve">8. Contratación electrónica y Notariado </w:t>
            </w:r>
            <w:r w:rsidRPr="001B7F27">
              <w:rPr>
                <w:rFonts w:ascii="Arial" w:eastAsia="Times New Roman" w:hAnsi="Arial" w:cs="Arial"/>
                <w:color w:val="003399"/>
                <w:sz w:val="17"/>
                <w:szCs w:val="17"/>
                <w:lang w:eastAsia="es-AR"/>
              </w:rPr>
              <w:br/>
              <w:t>Confidencialidad, seguridad, autenticación y confianza, son conceptos de aplicación constante en el ejercicio de la profesión notarial. Expresan aspectos de ella y delinean sus contornos.</w:t>
            </w:r>
            <w:r w:rsidRPr="001B7F27">
              <w:rPr>
                <w:rFonts w:ascii="Arial" w:eastAsia="Times New Roman" w:hAnsi="Arial" w:cs="Arial"/>
                <w:color w:val="003399"/>
                <w:sz w:val="17"/>
                <w:szCs w:val="17"/>
                <w:lang w:eastAsia="es-AR"/>
              </w:rPr>
              <w:br/>
              <w:t>Por el contrario, términos como encriptación, algoritmo, mensaje electrónico o firma digital, pertenecen, desde luego, a otras ramas del saber y de la ciencia. Están lejos.</w:t>
            </w:r>
            <w:r w:rsidRPr="001B7F27">
              <w:rPr>
                <w:rFonts w:ascii="Arial" w:eastAsia="Times New Roman" w:hAnsi="Arial" w:cs="Arial"/>
                <w:color w:val="003399"/>
                <w:sz w:val="17"/>
                <w:szCs w:val="17"/>
                <w:lang w:eastAsia="es-AR"/>
              </w:rPr>
              <w:br/>
              <w:t>Unos y otras aparecen relacionándose entre sí de forma novedosa: lo viejo y lo nuevo, lo conocido y lo desconocido confluyen en un territorio inexplorado, la llamada autopista de la información, que producirá mutaciones de todo tipo y en todos los órdenes, impactando en todas las profesiones, incluida la notarial.</w:t>
            </w:r>
            <w:r w:rsidRPr="001B7F27">
              <w:rPr>
                <w:rFonts w:ascii="Arial" w:eastAsia="Times New Roman" w:hAnsi="Arial" w:cs="Arial"/>
                <w:color w:val="003399"/>
                <w:sz w:val="17"/>
                <w:szCs w:val="17"/>
                <w:lang w:eastAsia="es-AR"/>
              </w:rPr>
              <w:br/>
              <w:t>Las computadoras y los medios de comunicación electrónicos están pasando a formar parte de nuestra vida cotidiana, pero este impacto va más allá de una simple modificación del paisaje de la oficina: se trata de definir cómo ha de participar el Notario en el mundo de la transacción jurídica electrónica; qué puede aportarle y qué puede reportarle; y cuáles serán las nuevas exigencias para desarrollar la profesión en este mundo.</w:t>
            </w:r>
            <w:r w:rsidRPr="001B7F27">
              <w:rPr>
                <w:rFonts w:ascii="Arial" w:eastAsia="Times New Roman" w:hAnsi="Arial" w:cs="Arial"/>
                <w:color w:val="003399"/>
                <w:sz w:val="17"/>
                <w:szCs w:val="17"/>
                <w:lang w:eastAsia="es-AR"/>
              </w:rPr>
              <w:br/>
              <w:t>La Comisión de Informática y Seguridad Jurídica de la Unión Internacional del Notariado Latino, define de modo tajante, la importancia que estas cuestiones tienen para el futuro del Notariado: “En la transición de las transacciones en forma escrita a las transacciones jurídicas electrónicas, las partes interesadas buscan un interlocutor de confianza...se observa un gran interés por parte de empresas...para brindar este tipo de servicios. Si el Notariado no se involucra y no participa activamente en este ámbito corre el riesgo de ser considerado incompetente en la materia y dejado de lado en la futura evolución”.</w:t>
            </w:r>
            <w:r w:rsidRPr="001B7F27">
              <w:rPr>
                <w:rFonts w:ascii="Arial" w:eastAsia="Times New Roman" w:hAnsi="Arial" w:cs="Arial"/>
                <w:color w:val="003399"/>
                <w:sz w:val="17"/>
                <w:szCs w:val="17"/>
                <w:lang w:eastAsia="es-AR"/>
              </w:rPr>
              <w:br/>
              <w:t>El papel que juegue el Notariado en esta evolución dependerá del lugar que él mismo haya creado, haciendo sentir su presencia y proponiendo soluciones para los nuevos problemas que se van planteando, pero también, haciéndose valer como una institución que, desde hace cientos de años ha resuelto de forma satisfactoria problemas, como la identificación, la legalidad, la confidencialidad, el asesoramiento que, en el ámbito electrónico vuelven a surgir, con original apariencia pero no con menor importancia.</w:t>
            </w:r>
            <w:r w:rsidRPr="001B7F27">
              <w:rPr>
                <w:rFonts w:ascii="Arial" w:eastAsia="Times New Roman" w:hAnsi="Arial" w:cs="Arial"/>
                <w:color w:val="003399"/>
                <w:sz w:val="17"/>
                <w:szCs w:val="17"/>
                <w:lang w:eastAsia="es-AR"/>
              </w:rPr>
              <w:br/>
              <w:t>Tan lejos y tan cerca al mismo tiempo. Se trata de adaptarse a los requerimientos de un mundo inexistente hace dos décadas, de entrar en él, de aceptar sus reglas y ser útiles. Tan lejos ha de llegarse. Pero ha de obtenerse este resultado sin perderse la esencia de lo que es la esencia del Notario Latino, sin abdicar de lo que son sus principios definitorios para convertirse en algo más ligero. Cerca, muy cerca de los principios.</w:t>
            </w:r>
            <w:r w:rsidRPr="001B7F27">
              <w:rPr>
                <w:rFonts w:ascii="Arial" w:eastAsia="Times New Roman" w:hAnsi="Arial" w:cs="Arial"/>
                <w:color w:val="003399"/>
                <w:sz w:val="17"/>
                <w:szCs w:val="17"/>
                <w:lang w:eastAsia="es-AR"/>
              </w:rPr>
              <w:br/>
              <w:t>Respecto a los principios que fundamentan los sistemas jurídicos Latino y Anglosajón, podemos afirmar que el sistema Latino, en el que está encuadrado el Notario tal y como lo conocemos, es fruto de la tradición jurídica romano-germánica y se caracteriza por la primacía de la Ley como fuente de Derecho. Sus ordenamientos acogen el principio de libertad de formas, declarando válidos y eficaces los negocios cualquiera sea el mecanismo escogido para exteriorizar la declaración de voluntad, a salvo determinadas excepciones para negocios en los que se exige unas ciertas formas, con carácter constitutivo o meramente probatorio, según los casos, exigencia fundada en que se estima que tienen una trascendencia jurídica pública mayor.</w:t>
            </w:r>
            <w:r w:rsidRPr="001B7F27">
              <w:rPr>
                <w:rFonts w:ascii="Arial" w:eastAsia="Times New Roman" w:hAnsi="Arial" w:cs="Arial"/>
                <w:color w:val="003399"/>
                <w:sz w:val="17"/>
                <w:szCs w:val="17"/>
                <w:lang w:eastAsia="es-AR"/>
              </w:rPr>
              <w:br/>
              <w:t xml:space="preserve">Una vez aceptado este principio de libertad, el problema recae en la prueba procesal. Cómo demostrar la existencia de una voluntad o negocio y hacerla valer en el proceso; para facilitar aquélla, se priman con efectos privilegiados algunos medios probatorios, entre ellos, los documentos procedentes de determinados profesionales facultados para este fin por el ordenamiento, que son los documentos públicos. </w:t>
            </w:r>
            <w:r w:rsidRPr="001B7F27">
              <w:rPr>
                <w:rFonts w:ascii="Arial" w:eastAsia="Times New Roman" w:hAnsi="Arial" w:cs="Arial"/>
                <w:color w:val="003399"/>
                <w:sz w:val="17"/>
                <w:szCs w:val="17"/>
                <w:lang w:eastAsia="es-AR"/>
              </w:rPr>
              <w:br/>
              <w:t>El Notario, en este sistema, es el profesional encargado de la redacción y autorización del documento público, base del ordenamiento, aunque no única, porque coexiste con el documento privado.</w:t>
            </w:r>
            <w:r w:rsidRPr="001B7F27">
              <w:rPr>
                <w:rFonts w:ascii="Arial" w:eastAsia="Times New Roman" w:hAnsi="Arial" w:cs="Arial"/>
                <w:color w:val="003399"/>
                <w:sz w:val="17"/>
                <w:szCs w:val="17"/>
                <w:lang w:eastAsia="es-AR"/>
              </w:rPr>
              <w:br/>
              <w:t xml:space="preserve">En el sistema Anglosajón, las decisiones judiciales y la costumbre son las fuentes básicas del Derecho; admite, como en el sistema Latino, el principio de libertad de formas, con mucha mayor amplitud. No existen, prácticamente, controles formales previos y las transacciones pueden efectuarse con una flexibilidad y libertad muy acusadas. El tráfico jurídico descansa en el documento privado, desconociéndose el concepto de documento público como productor de efectos privilegiados con relevancia de fe pública. </w:t>
            </w:r>
            <w:r w:rsidRPr="001B7F27">
              <w:rPr>
                <w:rFonts w:ascii="Arial" w:eastAsia="Times New Roman" w:hAnsi="Arial" w:cs="Arial"/>
                <w:color w:val="003399"/>
                <w:sz w:val="17"/>
                <w:szCs w:val="17"/>
                <w:lang w:eastAsia="es-AR"/>
              </w:rPr>
              <w:br/>
              <w:t xml:space="preserve">El Notario es un profesional independiente que asesora prestando especial atención a la parte más débil que, en la mayoría de las ocasiones lo será el individuo particular en su relación con la gran empresa. Es un mediador no controlable y, por tanto, en cierto modo, incómodo para aquellos que disfrutan de una posición de superioridad. </w:t>
            </w:r>
            <w:r w:rsidRPr="001B7F27">
              <w:rPr>
                <w:rFonts w:ascii="Arial" w:eastAsia="Times New Roman" w:hAnsi="Arial" w:cs="Arial"/>
                <w:color w:val="003399"/>
                <w:sz w:val="17"/>
                <w:szCs w:val="17"/>
                <w:lang w:eastAsia="es-AR"/>
              </w:rPr>
              <w:br/>
              <w:t xml:space="preserve">Dadas estas circunstancias, no es raro sino absolutamente natural que la concepción actual de las economías de mercado, se inclinen por el sistema anglosajón, puesto que elimina al tercero independiente y resuelve los conflictos después de que se produzcan mediante una reparación económica por el daño producido; en realidad es un sistema que está hecho a la medida del gran capitalismo. </w:t>
            </w:r>
            <w:r w:rsidRPr="001B7F27">
              <w:rPr>
                <w:rFonts w:ascii="Arial" w:eastAsia="Times New Roman" w:hAnsi="Arial" w:cs="Arial"/>
                <w:color w:val="003399"/>
                <w:sz w:val="17"/>
                <w:szCs w:val="17"/>
                <w:lang w:eastAsia="es-AR"/>
              </w:rPr>
              <w:br/>
              <w:t xml:space="preserve">La sociedad de hoy exige celeridad, sencillez y un contacto directo entre las partes, sin intermediarios. La actuación </w:t>
            </w:r>
            <w:r w:rsidRPr="001B7F27">
              <w:rPr>
                <w:rFonts w:ascii="Arial" w:eastAsia="Times New Roman" w:hAnsi="Arial" w:cs="Arial"/>
                <w:color w:val="003399"/>
                <w:sz w:val="17"/>
                <w:szCs w:val="17"/>
                <w:lang w:eastAsia="es-AR"/>
              </w:rPr>
              <w:lastRenderedPageBreak/>
              <w:t>notarial constituye una formalidad anticuada, propia de tiempos más solemnes y pausados y es difícil que encaje con los tiempos que corren. Es mejor un sistema de documento privado combinado con un seguro de título, mecanismo ágil, veloz y además, con el encanto de que no hay que pagar al Notario, por lo que se reducen costos, con el consiguiente beneficio para el particular involucrado.</w:t>
            </w:r>
            <w:r w:rsidRPr="001B7F27">
              <w:rPr>
                <w:rFonts w:ascii="Arial" w:eastAsia="Times New Roman" w:hAnsi="Arial" w:cs="Arial"/>
                <w:color w:val="003399"/>
                <w:sz w:val="17"/>
                <w:szCs w:val="17"/>
                <w:lang w:eastAsia="es-AR"/>
              </w:rPr>
              <w:br/>
              <w:t xml:space="preserve">En la red se menciona, con frecuencia, al llamado notario electrónico, expresión que se aplica básicamente a los prestadores de servicios de certificación, por la razón de que garantizan que una determinada clave pertenece a una persona. Es decir, estos prestadores, a través de la emisión de certificados, avalan siquiera a efectos económicos la titular del par de claves y se les suele considera terceros de confianza, de forma que, por la magia de las palabras certificar, garantía, tercero, confianza, se produce una asimilación con la labor notarial, sin sustento jurídico alguno. </w:t>
            </w:r>
            <w:r w:rsidRPr="001B7F27">
              <w:rPr>
                <w:rFonts w:ascii="Arial" w:eastAsia="Times New Roman" w:hAnsi="Arial" w:cs="Arial"/>
                <w:color w:val="003399"/>
                <w:sz w:val="17"/>
                <w:szCs w:val="17"/>
                <w:lang w:eastAsia="es-AR"/>
              </w:rPr>
              <w:br/>
              <w:t xml:space="preserve">La importancia de llamarse Notario. En el mundo actual la imagen influye muchísimo y no debemos, en modo alguno, descuidarla. El notario electrónico ni es Notario ni sus actividades tienen relación con las que éste desarrolla. No debe utilizar este nombre porque genera una peligrosa confusión y, sobre todo, una indeseable vulgarización de las funciones notariales, limitadas a dar fe de que alguien es quién manifiesta ser. Hemos de entrar con armas y bagajes latinos en el comercio de la red. </w:t>
            </w:r>
            <w:r w:rsidRPr="001B7F27">
              <w:rPr>
                <w:rFonts w:ascii="Arial" w:eastAsia="Times New Roman" w:hAnsi="Arial" w:cs="Arial"/>
                <w:color w:val="003399"/>
                <w:sz w:val="17"/>
                <w:szCs w:val="17"/>
                <w:lang w:eastAsia="es-AR"/>
              </w:rPr>
              <w:br/>
              <w:t>La vigencia de la profesión, el reciclaje y la ampliación de conocimientos, el sentido y la credibilidad, la participación activa y el significado que la expresión Notario tiene en sí mismo como valor, como denominación de origen son algunas de las ideas que, sin pretender agotar la materia, podrían servir de puntos de referencia para sentar las bases de la actuación del Notariado en el moderno espectro de la contratación electrónica.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Funciones concretas del Notariado en la contratación electrónica</w:t>
            </w:r>
            <w:r w:rsidRPr="001B7F27">
              <w:rPr>
                <w:rFonts w:ascii="Arial" w:eastAsia="Times New Roman" w:hAnsi="Arial" w:cs="Arial"/>
                <w:color w:val="003399"/>
                <w:sz w:val="17"/>
                <w:szCs w:val="17"/>
                <w:lang w:eastAsia="es-AR"/>
              </w:rPr>
              <w:br/>
              <w:t>Actualmente, el Notario puede desarrollar una serie de actividades que, sin pretender ser exhaustivas, pueden ser incluidas dentro del quehacer del Notario como Notario y aquellas otras que no pertenecen a aquél, pero las ejerce por ser Notario y para actuar como Notario eficiente.</w:t>
            </w:r>
            <w:r w:rsidRPr="001B7F27">
              <w:rPr>
                <w:rFonts w:ascii="Arial" w:eastAsia="Times New Roman" w:hAnsi="Arial" w:cs="Arial"/>
                <w:color w:val="003399"/>
                <w:sz w:val="17"/>
                <w:szCs w:val="17"/>
                <w:lang w:eastAsia="es-AR"/>
              </w:rPr>
              <w:br/>
              <w:t xml:space="preserve">a) Las funciones que el Notario puede desempeñar, como Notario son: la redacción de actas de depósito, de visualización de la pantalla de una computadora, el escrow y el depósito de claves privadas. El Notario puede servir como autoridad de registro para que el proveedor de servicios de certificación pueda garantizar, con garantías, a quien solicite, que un determinado par de claves de codificación pertenece a una persona física o jurídica. El Notario puede legitimar firmas digitales estampadas en su presencia en documentos electrónicos. </w:t>
            </w:r>
            <w:r w:rsidRPr="001B7F27">
              <w:rPr>
                <w:rFonts w:ascii="Arial" w:eastAsia="Times New Roman" w:hAnsi="Arial" w:cs="Arial"/>
                <w:color w:val="003399"/>
                <w:sz w:val="17"/>
                <w:szCs w:val="17"/>
                <w:lang w:eastAsia="es-AR"/>
              </w:rPr>
              <w:br/>
              <w:t>El time stamping, consagrado como una de las posibles funciones del Notario en la Declaración de la Unión Internacional del Notariado Latino, del 2 de octubre de 1998, consiste en la determinación de la fecha y hora en que un documento electrónico es enviado.</w:t>
            </w:r>
            <w:r w:rsidRPr="001B7F27">
              <w:rPr>
                <w:rFonts w:ascii="Arial" w:eastAsia="Times New Roman" w:hAnsi="Arial" w:cs="Arial"/>
                <w:color w:val="003399"/>
                <w:sz w:val="17"/>
                <w:szCs w:val="17"/>
                <w:lang w:eastAsia="es-AR"/>
              </w:rPr>
              <w:br/>
              <w:t>Finalmente, parece tecnológicamente factible que un documento electrónico tenga el carácter de documento público, siempre que se observen los requisitos que la legislación civil exige para dotar de tal carácter a los documentos.</w:t>
            </w:r>
            <w:r w:rsidRPr="001B7F27">
              <w:rPr>
                <w:rFonts w:ascii="Arial" w:eastAsia="Times New Roman" w:hAnsi="Arial" w:cs="Arial"/>
                <w:color w:val="003399"/>
                <w:sz w:val="17"/>
                <w:szCs w:val="17"/>
                <w:lang w:eastAsia="es-AR"/>
              </w:rPr>
              <w:br/>
              <w:t>b) Las funciones que el Notario puede desempeñar por ser Notario y para actuar como Notario eficiente consisten, principalmente, en la prestación de servicios de certificación que, según la Declaración de la Unión Internacional del Notariado Latino, debe consistir en una cadena de servicios de certificación que parta de un Notario individual y vaya ascendiendo por las diversas estructuras de organización nacional hasta llegar a la propia Unión. Los Colegios Notariales actuarían como proveedores de certificados electrónicos.</w:t>
            </w:r>
            <w:r w:rsidRPr="001B7F27">
              <w:rPr>
                <w:rFonts w:ascii="Arial" w:eastAsia="Times New Roman" w:hAnsi="Arial" w:cs="Arial"/>
                <w:color w:val="003399"/>
                <w:sz w:val="17"/>
                <w:szCs w:val="17"/>
                <w:lang w:eastAsia="es-AR"/>
              </w:rPr>
              <w:br/>
              <w:t>Otra propuesta de la Unión Internacional del Notariado Latino consiste en la ventanilla electrónica, es decir, convertir a cada Notario en la puerta de entrada a la red, bajo su supervisión y en su computadora; quedando constancias fehacientes, se enviarán y recibirán documentos electrónicos.</w:t>
            </w:r>
            <w:r w:rsidRPr="001B7F27">
              <w:rPr>
                <w:rFonts w:ascii="Arial" w:eastAsia="Times New Roman" w:hAnsi="Arial" w:cs="Arial"/>
                <w:color w:val="003399"/>
                <w:sz w:val="17"/>
                <w:szCs w:val="17"/>
                <w:lang w:eastAsia="es-AR"/>
              </w:rPr>
              <w:br/>
              <w:t>Finalmente, la última y más avanzada propuesta consiste en la escritura pública de reconocimiento de firmas digitales, una propuesta teórica que se adscribe en la línea de tradición notarial de creación de nuevas instituciones.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Internet está creándose continuamente a sí misma, creciendo y modificándose y es cada vez más un mecanismo de comercio, de transacción, de mercado. Ciertamente existen y se desarrollan en la red otras facetas importantes, como la simple comunicación e intercambio de información o programas, la investigación, la creación de foros de opinión y utilidades que todavía están por surgir. Pero, lo verdaderamente fundamental, lo que hace que esté experimentando este crecimiento exponencial, es que en la red hay muchísimo dinero en juego. Es un universo con grandes espacios libres por explorar y unas posibilidades empresariales de máxima importancia. La economía, como en casi todas las facetas de la vida, dicta su Ley poderosa.</w:t>
            </w:r>
            <w:r w:rsidRPr="001B7F27">
              <w:rPr>
                <w:rFonts w:ascii="Arial" w:eastAsia="Times New Roman" w:hAnsi="Arial" w:cs="Arial"/>
                <w:color w:val="003399"/>
                <w:sz w:val="17"/>
                <w:szCs w:val="17"/>
                <w:lang w:eastAsia="es-AR"/>
              </w:rPr>
              <w:br/>
              <w:t>La red es y, probablemente, será biblioteca, empresa editora y plaza pública, pero ante todo se definirá como un enorme negocio a escala planetaria. La aldea global dispone ya de su mercado global y de sus problemas globales.</w:t>
            </w:r>
            <w:r w:rsidRPr="001B7F27">
              <w:rPr>
                <w:rFonts w:ascii="Arial" w:eastAsia="Times New Roman" w:hAnsi="Arial" w:cs="Arial"/>
                <w:color w:val="003399"/>
                <w:sz w:val="17"/>
                <w:szCs w:val="17"/>
                <w:lang w:eastAsia="es-AR"/>
              </w:rPr>
              <w:br/>
              <w:t>Con este panorama, no cabe más que dejar a cargo de Mario Miccoli el colofón de este trabajo: “La mayor parte de nosotros temía que la llegada de la Informática hiciese superflua y obsoleta la profesión notarial, pero cuando observamos que la propia Informática abre al Notariado unas vías inesperadas de crecimiento de la función y de proyección internacional, no podemos sino sentir alguna, siquiera contenida, satisfacción”.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t>Aspectos jurídicos del comercio electrónico en Internet. Javier Ribas Alejandro. Editorial Aranzadi S.A. Navarra, 1999</w:t>
            </w:r>
            <w:r w:rsidRPr="001B7F27">
              <w:rPr>
                <w:rFonts w:ascii="Arial" w:eastAsia="Times New Roman" w:hAnsi="Arial" w:cs="Arial"/>
                <w:color w:val="003399"/>
                <w:sz w:val="17"/>
                <w:szCs w:val="17"/>
                <w:lang w:eastAsia="es-AR"/>
              </w:rPr>
              <w:br/>
              <w:t>Boletín Electrónico Kriptópolis. Nº 118 del 16.06.1999</w:t>
            </w:r>
            <w:r w:rsidRPr="001B7F27">
              <w:rPr>
                <w:rFonts w:ascii="Arial" w:eastAsia="Times New Roman" w:hAnsi="Arial" w:cs="Arial"/>
                <w:color w:val="003399"/>
                <w:sz w:val="17"/>
                <w:szCs w:val="17"/>
                <w:lang w:eastAsia="es-AR"/>
              </w:rPr>
              <w:br/>
              <w:t>Criptografía y seguridad en computadores. Manuel Lucena López. Libro electrónico disponible en www.kriptopolis.com</w:t>
            </w:r>
            <w:r w:rsidRPr="001B7F27">
              <w:rPr>
                <w:rFonts w:ascii="Arial" w:eastAsia="Times New Roman" w:hAnsi="Arial" w:cs="Arial"/>
                <w:color w:val="003399"/>
                <w:sz w:val="17"/>
                <w:szCs w:val="17"/>
                <w:lang w:eastAsia="es-AR"/>
              </w:rPr>
              <w:br/>
              <w:t xml:space="preserve">El Notariado y las transacciones jurídicas electrónicas. Presentado por la Comisión de Informática y Seguridad </w:t>
            </w:r>
            <w:r w:rsidRPr="001B7F27">
              <w:rPr>
                <w:rFonts w:ascii="Arial" w:eastAsia="Times New Roman" w:hAnsi="Arial" w:cs="Arial"/>
                <w:color w:val="003399"/>
                <w:sz w:val="17"/>
                <w:szCs w:val="17"/>
                <w:lang w:eastAsia="es-AR"/>
              </w:rPr>
              <w:lastRenderedPageBreak/>
              <w:t>Jurídica de la Unión Internacional del Notariado Latino. Año 2000</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Notariado y Contratación Electrónica. Consejo Gral. del Notariado. Madrid, 2000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 Abogada, Notaria y Escribana Pública. Doctora en Ciencias Jurídicas. Profesora Encargada de Cátedra de Derecho Internacional Privado y de Derecho Informático de la Facultad de Ciencias Jurídicas y Diplomáticas de la Universidad Católica 'Nuestra Señora de la Asunción'. Profesora de Derecho Informático del Doctorado en Derecho Notarial y Registral de la misma Universidad. </w:t>
            </w:r>
            <w:r w:rsidRPr="001B7F27">
              <w:rPr>
                <w:rFonts w:ascii="Arial" w:eastAsia="Times New Roman" w:hAnsi="Arial" w:cs="Arial"/>
                <w:color w:val="003399"/>
                <w:sz w:val="17"/>
                <w:szCs w:val="17"/>
                <w:lang w:eastAsia="es-AR"/>
              </w:rPr>
              <w:br/>
              <w:t>2 Se trataba de dar una solución a la posibilidad de que la URSS bombardeara centros militares estadounidenses y destruyera su sistema de comunicaciones de Defensa. En 1969, el Departamento de Defensa, crea una red electrónica de intercambio de datos, ARPANET, de forma que, aun aniquilados algunos centros, el sistema seguiría funcionando por medio de los demás.</w:t>
            </w:r>
            <w:r w:rsidRPr="001B7F27">
              <w:rPr>
                <w:rFonts w:ascii="Arial" w:eastAsia="Times New Roman" w:hAnsi="Arial" w:cs="Arial"/>
                <w:color w:val="003399"/>
                <w:sz w:val="17"/>
                <w:szCs w:val="17"/>
                <w:lang w:eastAsia="es-AR"/>
              </w:rPr>
              <w:br/>
              <w:t xml:space="preserve">3 Partiendo de esta idea, es lógico afirmar con el adagio romano ibi societas, ubi ius, que, obligatoriamente se impone una regulación idónea para esta comunidad. </w:t>
            </w:r>
            <w:r w:rsidRPr="001B7F27">
              <w:rPr>
                <w:rFonts w:ascii="Arial" w:eastAsia="Times New Roman" w:hAnsi="Arial" w:cs="Arial"/>
                <w:color w:val="003399"/>
                <w:sz w:val="17"/>
                <w:szCs w:val="17"/>
                <w:lang w:eastAsia="es-AR"/>
              </w:rPr>
              <w:br/>
              <w:t>4 El Boletín electrónico de Kriptópolis señaló, en su Nº 118 del 17 de junio de 1999 que, mediante una encuesta formulada a 105 ejecutivos de empresas informáticas, la Information Techonology Association of America, señaló que la falta de confianza constituye el 63% de la problemática que puede frenar el avance del comercio electrónico.</w:t>
            </w:r>
            <w:r w:rsidRPr="001B7F27">
              <w:rPr>
                <w:rFonts w:ascii="Arial" w:eastAsia="Times New Roman" w:hAnsi="Arial" w:cs="Arial"/>
                <w:color w:val="003399"/>
                <w:sz w:val="17"/>
                <w:szCs w:val="17"/>
                <w:lang w:eastAsia="es-AR"/>
              </w:rPr>
              <w:br/>
              <w:t>5 Los servicios de la sociedad de la información se definen por las Directivas 98/34/CE y 98/84/CE, como cualquier servicio prestado normalmente a título oneroso, a distancia, mediante un equipo electrónico para el tratamiento (incluida la compresión digital) y el almacenamiento de datos y, a petición individual de un receptor de un servicio.</w:t>
            </w:r>
            <w:r w:rsidRPr="001B7F27">
              <w:rPr>
                <w:rFonts w:ascii="Arial" w:eastAsia="Times New Roman" w:hAnsi="Arial" w:cs="Arial"/>
                <w:color w:val="003399"/>
                <w:sz w:val="17"/>
                <w:szCs w:val="17"/>
                <w:lang w:eastAsia="es-AR"/>
              </w:rPr>
              <w:br/>
              <w:t>6 Con exclusión de la actividad de entrega de las mercancías en sí mismas o la prestación de servicios fuera de línea, como por ejemplo, las ventas por catálogo.</w:t>
            </w:r>
            <w:r w:rsidRPr="001B7F27">
              <w:rPr>
                <w:rFonts w:ascii="Arial" w:eastAsia="Times New Roman" w:hAnsi="Arial" w:cs="Arial"/>
                <w:color w:val="003399"/>
                <w:sz w:val="17"/>
                <w:szCs w:val="17"/>
                <w:lang w:eastAsia="es-AR"/>
              </w:rPr>
              <w:br/>
              <w:t>7 Sería el acceso a bases de datos jurídicas.</w:t>
            </w:r>
            <w:r w:rsidRPr="001B7F27">
              <w:rPr>
                <w:rFonts w:ascii="Arial" w:eastAsia="Times New Roman" w:hAnsi="Arial" w:cs="Arial"/>
                <w:color w:val="003399"/>
                <w:sz w:val="17"/>
                <w:szCs w:val="17"/>
                <w:lang w:eastAsia="es-AR"/>
              </w:rPr>
              <w:br/>
              <w:t>8 Ofertas, descuentos, propaganda, concursos o juegos promocionales.</w:t>
            </w:r>
            <w:r w:rsidRPr="001B7F27">
              <w:rPr>
                <w:rFonts w:ascii="Arial" w:eastAsia="Times New Roman" w:hAnsi="Arial" w:cs="Arial"/>
                <w:color w:val="003399"/>
                <w:sz w:val="17"/>
                <w:szCs w:val="17"/>
                <w:lang w:eastAsia="es-AR"/>
              </w:rPr>
              <w:br/>
              <w:t>9 Video a la carta, MP3, etc.</w:t>
            </w:r>
            <w:r w:rsidRPr="001B7F27">
              <w:rPr>
                <w:rFonts w:ascii="Arial" w:eastAsia="Times New Roman" w:hAnsi="Arial" w:cs="Arial"/>
                <w:color w:val="003399"/>
                <w:sz w:val="17"/>
                <w:szCs w:val="17"/>
                <w:lang w:eastAsia="es-AR"/>
              </w:rPr>
              <w:br/>
              <w:t>10 Dentro de este concepto se aglutinan un gran número de actividades, actos y negocios jurídicos, que enlazan con la ya indicada definición de los servicios de la sociedad e la información; en el sentido de que la contratación de tales servicios de la sociedad de la información se realizarían, principalmente, a través del comercio electrónico.</w:t>
            </w:r>
            <w:r w:rsidRPr="001B7F27">
              <w:rPr>
                <w:rFonts w:ascii="Arial" w:eastAsia="Times New Roman" w:hAnsi="Arial" w:cs="Arial"/>
                <w:color w:val="003399"/>
                <w:sz w:val="17"/>
                <w:szCs w:val="17"/>
                <w:lang w:eastAsia="es-AR"/>
              </w:rPr>
              <w:br/>
              <w:t>11 Conocida como multipropiedad.</w:t>
            </w:r>
            <w:r w:rsidRPr="001B7F27">
              <w:rPr>
                <w:rFonts w:ascii="Arial" w:eastAsia="Times New Roman" w:hAnsi="Arial" w:cs="Arial"/>
                <w:color w:val="003399"/>
                <w:sz w:val="17"/>
                <w:szCs w:val="17"/>
                <w:lang w:eastAsia="es-AR"/>
              </w:rPr>
              <w:br/>
              <w:t>12Propiedad horizontal o división horizontal de inmuebles.</w:t>
            </w:r>
            <w:r w:rsidRPr="001B7F27">
              <w:rPr>
                <w:rFonts w:ascii="Arial" w:eastAsia="Times New Roman" w:hAnsi="Arial" w:cs="Arial"/>
                <w:color w:val="003399"/>
                <w:sz w:val="17"/>
                <w:szCs w:val="17"/>
                <w:lang w:eastAsia="es-AR"/>
              </w:rPr>
              <w:br/>
              <w:t>13Respecto de los contratos en que, necesariamente, deben intervenir un Juez o un funcionario de la Administración, debe considerarse que, por lo que refiere a nuestro sistema jurídico, tales contratos son, más bien, escasos y de número reducido. Ello es consecuencia del Principio de Libertad de Forma recogido, entre otros, en el Código Civil.</w:t>
            </w:r>
            <w:r w:rsidRPr="001B7F27">
              <w:rPr>
                <w:rFonts w:ascii="Arial" w:eastAsia="Times New Roman" w:hAnsi="Arial" w:cs="Arial"/>
                <w:color w:val="003399"/>
                <w:sz w:val="17"/>
                <w:szCs w:val="17"/>
                <w:lang w:eastAsia="es-AR"/>
              </w:rPr>
              <w:br/>
              <w:t xml:space="preserve">14Parece que la Directiva incluye aquí a los documentos públicos en su triple clasificación como judiciales, administrativos y notariales, cuando tales documentos se exigen como forma de ser del contrato, como requisito constitutivo y elemento esencial del mismo, como por ejemplo, la constitución de sociedades. No se excluye todo contrato que conste en documento público, sino aquellos en que el contrato necesariamente debe constar en documento público. </w:t>
            </w:r>
            <w:r w:rsidRPr="001B7F27">
              <w:rPr>
                <w:rFonts w:ascii="Arial" w:eastAsia="Times New Roman" w:hAnsi="Arial" w:cs="Arial"/>
                <w:color w:val="003399"/>
                <w:sz w:val="17"/>
                <w:szCs w:val="17"/>
                <w:lang w:eastAsia="es-AR"/>
              </w:rPr>
              <w:br/>
              <w:t xml:space="preserve">15Por lo que refiere a los contratos de crédito y caución, parece lógica la exclusión por cuanto nos encontramos ante negocios jurídicos de una gran repercusión patrimonial, a los que en nada beneficia la celeridad propia de las transacciones por vía telemática. Además se involucra, en estos supuestos, la protección a los consumidores. </w:t>
            </w:r>
            <w:r w:rsidRPr="001B7F27">
              <w:rPr>
                <w:rFonts w:ascii="Arial" w:eastAsia="Times New Roman" w:hAnsi="Arial" w:cs="Arial"/>
                <w:color w:val="003399"/>
                <w:sz w:val="17"/>
                <w:szCs w:val="17"/>
                <w:lang w:eastAsia="es-AR"/>
              </w:rPr>
              <w:br/>
              <w:t>16La vaguedad de este apartado puede ser consecuencia de que se está a la espera de la aprobación de la Directiva relativa a la prestación de servicios financieros a distancia, en la que parece que habrá una regulación más detallada, por lo menos en lo que se refiere al término crédito.</w:t>
            </w:r>
            <w:r w:rsidRPr="001B7F27">
              <w:rPr>
                <w:rFonts w:ascii="Arial" w:eastAsia="Times New Roman" w:hAnsi="Arial" w:cs="Arial"/>
                <w:color w:val="003399"/>
                <w:sz w:val="17"/>
                <w:szCs w:val="17"/>
                <w:lang w:eastAsia="es-AR"/>
              </w:rPr>
              <w:br/>
              <w:t xml:space="preserve">17Celebración del matrimonio, regulación de sus efectos patrimoniales en capitulaciones matrimoniales, cuestiones relativas a la filiación, tutela, guarda y acogimiento, patria potestad, testamento, herencias, etc. </w:t>
            </w:r>
            <w:r w:rsidRPr="001B7F27">
              <w:rPr>
                <w:rFonts w:ascii="Arial" w:eastAsia="Times New Roman" w:hAnsi="Arial" w:cs="Arial"/>
                <w:color w:val="003399"/>
                <w:sz w:val="17"/>
                <w:szCs w:val="17"/>
                <w:lang w:eastAsia="es-AR"/>
              </w:rPr>
              <w:br/>
              <w:t>18Nuestro sistema inmobiliario se apoya en el Principio de seguridad jurídica preventiva y no se adapta bien a la celeridad y falta de asesoramiento que puede implicar, en algunos casos, la contratación electrónica.</w:t>
            </w:r>
            <w:r w:rsidRPr="001B7F27">
              <w:rPr>
                <w:rFonts w:ascii="Arial" w:eastAsia="Times New Roman" w:hAnsi="Arial" w:cs="Arial"/>
                <w:color w:val="003399"/>
                <w:sz w:val="17"/>
                <w:szCs w:val="17"/>
                <w:lang w:eastAsia="es-AR"/>
              </w:rPr>
              <w:br/>
              <w:t>19 Quizás hubiera sido más acertado excluir de forma imperativa determinados sectores como el inmobiliario o familiar y sucesorio, que no son aptos por su propia idiosincrasia para utilizar el vehículo de la contratación electrónica.</w:t>
            </w:r>
            <w:r w:rsidRPr="001B7F27">
              <w:rPr>
                <w:rFonts w:ascii="Arial" w:eastAsia="Times New Roman" w:hAnsi="Arial" w:cs="Arial"/>
                <w:color w:val="003399"/>
                <w:sz w:val="17"/>
                <w:szCs w:val="17"/>
                <w:lang w:eastAsia="es-AR"/>
              </w:rPr>
              <w:br/>
              <w:t>20 El Notario español Francisco Javier Barreiros Fernández, es de opinión que un negocio así realizado no adolecería de nulidad: 'El problema que surge es qué ocurrirá en este caso porque el negocio es válido y perfecto o ve reducida su eficacia. Esta cuestión creo que debe ser resuelta legislativamente en la norma española de transposición, que en su día se dicte, que debe ser antes del 17 de enero de 2002, según el art. 22 de la Directiva sobre comercio electrónico' y así lo manifestó en la conferencia pronunciada en el Seminario 'Medios de pago 2000', organizado por el Grupo Recoletos de Madrid, en septiembre de 2000, recogida por la Revista Notariado y Contratación Electrónica del Consejo General del Notariado Español. Madrid, 2000; págs. 13 y sgtes.</w:t>
            </w:r>
            <w:r w:rsidRPr="001B7F27">
              <w:rPr>
                <w:rFonts w:ascii="Arial" w:eastAsia="Times New Roman" w:hAnsi="Arial" w:cs="Arial"/>
                <w:color w:val="003399"/>
                <w:sz w:val="17"/>
                <w:szCs w:val="17"/>
                <w:lang w:eastAsia="es-AR"/>
              </w:rPr>
              <w:br/>
              <w:t>21 Artículo 45 del Tratado de la Unión Europea.</w:t>
            </w:r>
            <w:r w:rsidRPr="001B7F27">
              <w:rPr>
                <w:rFonts w:ascii="Arial" w:eastAsia="Times New Roman" w:hAnsi="Arial" w:cs="Arial"/>
                <w:color w:val="003399"/>
                <w:sz w:val="17"/>
                <w:szCs w:val="17"/>
                <w:lang w:eastAsia="es-AR"/>
              </w:rPr>
              <w:br/>
              <w:t>22 RIBAS ALEJANDRO, Javier. Aspectos jurídicos del comercio electrónico en Internet. Aranzadi Editorial S.A. Navarra, 1999</w:t>
            </w:r>
            <w:r w:rsidRPr="001B7F27">
              <w:rPr>
                <w:rFonts w:ascii="Arial" w:eastAsia="Times New Roman" w:hAnsi="Arial" w:cs="Arial"/>
                <w:color w:val="003399"/>
                <w:sz w:val="17"/>
                <w:szCs w:val="17"/>
                <w:lang w:eastAsia="es-AR"/>
              </w:rPr>
              <w:br/>
              <w:t>23 Para tales efectos, además de las disposiciones de la Constitución Nacional, debemos tener en cuenta las disposiciones de la ley Nº 1682/2001, Que reglamenta la información de carácter privado.</w:t>
            </w:r>
            <w:r w:rsidRPr="001B7F27">
              <w:rPr>
                <w:rFonts w:ascii="Arial" w:eastAsia="Times New Roman" w:hAnsi="Arial" w:cs="Arial"/>
                <w:color w:val="003399"/>
                <w:sz w:val="17"/>
                <w:szCs w:val="17"/>
                <w:lang w:eastAsia="es-AR"/>
              </w:rPr>
              <w:br/>
              <w:t>24 Caso 'Hotmail contra Van$ Money Pie Inc.'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25 La legislación de la Unión Europea se recoge en la Directiva 1999/93/CE del 13 de diciembre de 1999, sobre Firma Electrónica.</w:t>
            </w:r>
            <w:r w:rsidRPr="001B7F27">
              <w:rPr>
                <w:rFonts w:ascii="Arial" w:eastAsia="Times New Roman" w:hAnsi="Arial" w:cs="Arial"/>
                <w:color w:val="003399"/>
                <w:sz w:val="17"/>
                <w:szCs w:val="17"/>
                <w:lang w:eastAsia="es-AR"/>
              </w:rPr>
              <w:br/>
              <w:t>26 Simples y avanzadas.</w:t>
            </w:r>
            <w:r w:rsidRPr="001B7F27">
              <w:rPr>
                <w:rFonts w:ascii="Arial" w:eastAsia="Times New Roman" w:hAnsi="Arial" w:cs="Arial"/>
                <w:color w:val="003399"/>
                <w:sz w:val="17"/>
                <w:szCs w:val="17"/>
                <w:lang w:eastAsia="es-AR"/>
              </w:rPr>
              <w:br/>
              <w:t>27 El sistema se denominaba escítala.</w:t>
            </w:r>
            <w:r w:rsidRPr="001B7F27">
              <w:rPr>
                <w:rFonts w:ascii="Arial" w:eastAsia="Times New Roman" w:hAnsi="Arial" w:cs="Arial"/>
                <w:color w:val="003399"/>
                <w:sz w:val="17"/>
                <w:szCs w:val="17"/>
                <w:lang w:eastAsia="es-AR"/>
              </w:rPr>
              <w:br/>
              <w:t>28 LUCENA LÓPEZ, Manuel José. Criptografía y seguridad en computadores. Libro electrónico, no disponible en versión en papel. Disponible en www.kriptopolis.com/criptografia.zip</w:t>
            </w:r>
            <w:r w:rsidRPr="001B7F27">
              <w:rPr>
                <w:rFonts w:ascii="Arial" w:eastAsia="Times New Roman" w:hAnsi="Arial" w:cs="Arial"/>
                <w:color w:val="003399"/>
                <w:sz w:val="17"/>
                <w:szCs w:val="17"/>
                <w:lang w:eastAsia="es-AR"/>
              </w:rPr>
              <w:br/>
              <w:t xml:space="preserve">29 Por sus autores Rivest, Shamir y Adleman. </w:t>
            </w:r>
            <w:r w:rsidRPr="001B7F27">
              <w:rPr>
                <w:rFonts w:ascii="Arial" w:eastAsia="Times New Roman" w:hAnsi="Arial" w:cs="Arial"/>
                <w:color w:val="003399"/>
                <w:sz w:val="17"/>
                <w:szCs w:val="17"/>
                <w:lang w:eastAsia="es-AR"/>
              </w:rPr>
              <w:br/>
              <w:t>30 Si no se está interesado en que sea confidencial, puesto que la firma electrónica no exige la confidencialidad, aunque sabemos que lo conveniente es, por razones de seguridad, que se mantenga la confidencialidad.</w:t>
            </w:r>
            <w:r w:rsidRPr="001B7F27">
              <w:rPr>
                <w:rFonts w:ascii="Arial" w:eastAsia="Times New Roman" w:hAnsi="Arial" w:cs="Arial"/>
                <w:color w:val="003399"/>
                <w:sz w:val="17"/>
                <w:szCs w:val="17"/>
                <w:lang w:eastAsia="es-AR"/>
              </w:rPr>
              <w:br/>
              <w:t>31 Esa identificación es básica en el mecanismo porque señala quién es el titular de la firma electrónica, objetivo final de todo el proceso.</w:t>
            </w:r>
            <w:r w:rsidRPr="001B7F27">
              <w:rPr>
                <w:rFonts w:ascii="Arial" w:eastAsia="Times New Roman" w:hAnsi="Arial" w:cs="Arial"/>
                <w:color w:val="003399"/>
                <w:sz w:val="17"/>
                <w:szCs w:val="17"/>
                <w:lang w:eastAsia="es-AR"/>
              </w:rPr>
              <w:br/>
              <w:t>32 La legislación española diferencia entre firma electrónica y firma electrónica avanzada, siendo esta última la basada en un certificado reconocido, expedido por un prestador de servicios de certificación y por medio de un dispositivo seguro de creación de firmas. Esta avanzada es equiparada, en cuanto a su valor jurídico, a la firma manuscrita y es admisible como prueba en juicio, no así la otra, que no obstante no carecerá de efectos jurídicos, ni será excluida como prueba en juicio, de forma que no tiene el mismo valor que la primera, pero ello no significa que su existencia carezca de cualquier valor jurídico.</w:t>
            </w:r>
            <w:r w:rsidRPr="001B7F27">
              <w:rPr>
                <w:rFonts w:ascii="Arial" w:eastAsia="Times New Roman" w:hAnsi="Arial" w:cs="Arial"/>
                <w:color w:val="003399"/>
                <w:sz w:val="17"/>
                <w:szCs w:val="17"/>
                <w:lang w:eastAsia="es-AR"/>
              </w:rPr>
              <w:br/>
              <w:t>33 A pesar de que se ha realizado un estudio pormenorizado de todo el proceso de firma electrónica, porque es conveniente comprenderlo bien antes de estudiar sus aspectos jurídicos, el usuario no ha de cumplimentar todas estas etapas una por una, sino que el software lo hace rápida y automáticamente.</w:t>
            </w:r>
            <w:r w:rsidRPr="001B7F27">
              <w:rPr>
                <w:rFonts w:ascii="Arial" w:eastAsia="Times New Roman" w:hAnsi="Arial" w:cs="Arial"/>
                <w:color w:val="003399"/>
                <w:sz w:val="17"/>
                <w:szCs w:val="17"/>
                <w:lang w:eastAsia="es-AR"/>
              </w:rPr>
              <w:br/>
              <w:t>34 Sistema de criptografía y comunicación por sistema de claves, ideado por Zimmermann, en 1991. Se denomina PGP (pretty good privacy) y se encuentra disponible en forma gratuita en Internet.</w:t>
            </w:r>
            <w:r w:rsidRPr="001B7F27">
              <w:rPr>
                <w:rFonts w:ascii="Arial" w:eastAsia="Times New Roman" w:hAnsi="Arial" w:cs="Arial"/>
                <w:color w:val="003399"/>
                <w:sz w:val="17"/>
                <w:szCs w:val="17"/>
                <w:lang w:eastAsia="es-AR"/>
              </w:rPr>
              <w:br/>
              <w:t>35 Suele decirse que estas entidades son o actúan de trusted third parties o terceros de confianza, en el sentido en que no son parte de la transacción y su fuerza se basa en la credibilidad que inspiran.</w:t>
            </w:r>
            <w:r w:rsidRPr="001B7F27">
              <w:rPr>
                <w:rFonts w:ascii="Arial" w:eastAsia="Times New Roman" w:hAnsi="Arial" w:cs="Arial"/>
                <w:color w:val="003399"/>
                <w:sz w:val="17"/>
                <w:szCs w:val="17"/>
                <w:lang w:eastAsia="es-AR"/>
              </w:rPr>
              <w:br/>
              <w:t>36El Notariado y las transacciones jurídicas electrónicas, trabajo realizado por la Comisión de Informática y Seguridad Jurídica de la Unión Internacional del Notariado Latino, disponible en www.colegio-escribanos.org.ar/ediciones.htm</w:t>
            </w:r>
            <w:r w:rsidRPr="001B7F27">
              <w:rPr>
                <w:rFonts w:ascii="Arial" w:eastAsia="Times New Roman" w:hAnsi="Arial" w:cs="Arial"/>
                <w:color w:val="003399"/>
                <w:sz w:val="17"/>
                <w:szCs w:val="17"/>
                <w:lang w:eastAsia="es-AR"/>
              </w:rPr>
              <w:br/>
              <w:t>37 Los principios definitorios de la función notarial en un sistema de Notariado Latino, son: autoría, control de legalidad, imparcialidad, inmediación, conservación del documento; a lo que se añade, en cuanto al documento en sí, la autenticidad, es decir, la fe pública de la que está dotado el documento notarial y también la eficacia privilegiada de la escritura pública, consecuencia de la autenticidad.</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8"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8" w:name="18"/>
            <w:bookmarkEnd w:id="18"/>
            <w:r w:rsidRPr="001B7F27">
              <w:rPr>
                <w:rFonts w:ascii="Arial" w:eastAsia="Times New Roman" w:hAnsi="Arial" w:cs="Arial"/>
                <w:b/>
                <w:bCs/>
                <w:color w:val="009933"/>
                <w:sz w:val="20"/>
                <w:szCs w:val="20"/>
                <w:lang w:eastAsia="es-AR"/>
              </w:rPr>
              <w:t>El Querellante Adhesivo en el Proceso Penal Paraguayo"</w:t>
            </w:r>
            <w:r w:rsidRPr="001B7F27">
              <w:rPr>
                <w:rFonts w:ascii="Arial" w:eastAsia="Times New Roman" w:hAnsi="Arial" w:cs="Arial"/>
                <w:color w:val="003399"/>
                <w:sz w:val="17"/>
                <w:szCs w:val="17"/>
                <w:lang w:eastAsia="es-AR"/>
              </w:rPr>
              <w:br/>
              <w:t>Rodolfo Fabián Centurión Ortiz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procesal penal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69"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 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artículo abordaremos el estudio de una figura: la del querellante y, en particular, sus funciones y atribuciones en los hechos punibles de acción penal pública, que aunque propia y tradicional en nuestro país y en la tradición jurídica latinoamericana, resulta sorprendente la escasa bibliografía sobre el tema. En este sencillo artículo estudiaremos a la querella, figura considerada tradicionalmente como el acto jurídico procesal con el que se inicia una causa criminal a instancia de la víctima, constituyéndose en querellante, quien, al mismo tiempo, se torna en parte acusadora en la causa penal que así se inicia. Profundizaremos su posición en nuestra legislación procesal penal; y también en la doctrina y también expondremos un esbozo de sus atribuciones en los hechos punibles de acción penal pública, así como su relacionamiento e interacción con los órganos jurisdiccionales y el ministerio </w:t>
            </w:r>
            <w:r w:rsidRPr="001B7F27">
              <w:rPr>
                <w:rFonts w:ascii="Arial" w:eastAsia="Times New Roman" w:hAnsi="Arial" w:cs="Arial"/>
                <w:color w:val="003399"/>
                <w:sz w:val="17"/>
                <w:szCs w:val="17"/>
                <w:lang w:eastAsia="es-AR"/>
              </w:rPr>
              <w:lastRenderedPageBreak/>
              <w:t xml:space="preserve">público.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 La querella. Concepto.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Frías, la querella, importando el ejercicio de la acción penal convierte en su consecuencia al querellante en acusador particular que insta el procedimiento en los delitos públicos a medida que le hace el Ministerio Público; en los delitos de acción privada, el querellante constituye la única parte actora.2</w:t>
            </w:r>
            <w:r w:rsidRPr="001B7F27">
              <w:rPr>
                <w:rFonts w:ascii="Arial" w:eastAsia="Times New Roman" w:hAnsi="Arial" w:cs="Arial"/>
                <w:color w:val="003399"/>
                <w:sz w:val="17"/>
                <w:szCs w:val="17"/>
                <w:lang w:eastAsia="es-AR"/>
              </w:rPr>
              <w:br/>
              <w:t>Según Claría Olmedo el querellante es, pues, un acusador privado que cumple facultativamente un acto penalmente imputativo, ya formulando directamente una acusación y manteniéndola, ya una incriminación que tiende a ella; ejercita la acción la acción penal a la par, subsidiariamente o con absoluta exclusión del ministerio fiscal, y se distingue del “instante” porque éste sólo tiende a liberar un obstáculo para ese ejercicio por el acusador público...”3</w:t>
            </w:r>
            <w:r w:rsidRPr="001B7F27">
              <w:rPr>
                <w:rFonts w:ascii="Arial" w:eastAsia="Times New Roman" w:hAnsi="Arial" w:cs="Arial"/>
                <w:color w:val="003399"/>
                <w:sz w:val="17"/>
                <w:szCs w:val="17"/>
                <w:lang w:eastAsia="es-AR"/>
              </w:rPr>
              <w:br/>
              <w:t xml:space="preserve">Mario Oderigo, la define como el acto por el cual una persona, legítimamente autorizada, ejercitando la acción penal, pone en conocimiento del juez, la noticia que tuviere acerca de la comisión de un delito. </w:t>
            </w:r>
            <w:r w:rsidRPr="001B7F27">
              <w:rPr>
                <w:rFonts w:ascii="Arial" w:eastAsia="Times New Roman" w:hAnsi="Arial" w:cs="Arial"/>
                <w:color w:val="003399"/>
                <w:sz w:val="17"/>
                <w:szCs w:val="17"/>
                <w:lang w:eastAsia="es-AR"/>
              </w:rPr>
              <w:br/>
              <w:t>Se diferencia fundamentalmente de la denuncia, en que, mientras ésta se contiene una simple manifestación de conocimiento, la querella contiene, además, una manifestación de voluntad, en el sentido de reclamar la actividad del órgano jurisdiccional para un pronunciamiento sobre la pretensión punitiva sometida a éste (ejercicio de la acción penal): en donde resulta que el querellante queda ligado al procedimiento ... y el denunciante no.4</w:t>
            </w:r>
            <w:r w:rsidRPr="001B7F27">
              <w:rPr>
                <w:rFonts w:ascii="Arial" w:eastAsia="Times New Roman" w:hAnsi="Arial" w:cs="Arial"/>
                <w:color w:val="003399"/>
                <w:sz w:val="17"/>
                <w:szCs w:val="17"/>
                <w:lang w:eastAsia="es-AR"/>
              </w:rPr>
              <w:br/>
              <w:t>Para nosotros es la solicitud hecha, por escrito, ante el Juez o Tribunal, en donde al mismo tiempo se pone a conocimiento del órgano jurisdiccional la existencia del mismo para que éste conozca un determinado objeto procesal penal, ofreciendo la información necesaria para su comprobación y solicitando las medidas asegurativas de las personas responsables y de sus bienes, ejercitando una acción de carácter penal contra persona determinada como presunto responsable de un hecho de relevancia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III. Importancia de la querella.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Siempre se ha apuntado que el interés directo del particular ofendido produce el efecto saludable de evitar, en muchos casos, la tendencia a la rutina que caracteriza a los órganos estatales, ya que, generalmente, la ingente cantidad de causas en el sistema penal tiende hacia la situación de no otorgar el tratamiento debido a los conflictos que se ventilan en los estrados judiciales, por lo que la querella constituye un elemento gravitante en el impulso en un proceso penal por el lógico interés que pondrá el afectado en la sanción al culpable.</w:t>
            </w:r>
            <w:r w:rsidRPr="001B7F27">
              <w:rPr>
                <w:rFonts w:ascii="Arial" w:eastAsia="Times New Roman" w:hAnsi="Arial" w:cs="Arial"/>
                <w:color w:val="003399"/>
                <w:sz w:val="17"/>
                <w:szCs w:val="17"/>
                <w:lang w:eastAsia="es-AR"/>
              </w:rPr>
              <w:br/>
              <w:t xml:space="preserve">El derecho de intervención del querellante en los hechos punibles de acción publica ha desatado en la doctrina penal numerosos debates. Dentro de este contexto se ha erigido en la doctrina posturas tendiente a su supresión y otros tendientes a la preservación del mismo.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IV. Quienes defienden la postura de mantener este sujeto eventual del proceso argumentan: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IV. I. Derecho de la Víctima a concurrir a los Tribunales a hacer valer sus derechos, protegidos por la ley penal: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derecho, de relevancia constitucional, se erige como un derecho inalienable, debido a que el estado debe asegurar el acceso a la justicia a la víctima, otorgando las herramientas para que ella pueda participar en el juicio penal en calidad de sujeto procesal.5</w:t>
            </w:r>
            <w:r w:rsidRPr="001B7F27">
              <w:rPr>
                <w:rFonts w:ascii="Arial" w:eastAsia="Times New Roman" w:hAnsi="Arial" w:cs="Arial"/>
                <w:color w:val="003399"/>
                <w:sz w:val="17"/>
                <w:szCs w:val="17"/>
                <w:lang w:eastAsia="es-AR"/>
              </w:rPr>
              <w:br/>
              <w:t>Cabe que poner de relieve el hecho de que ya la Corte Suprema de Justicia de nuestro país habría dictado importantes fallos defendiendo los derechos del querellante de participar en el proceso penal fundado precisamente en la necesidad de garantizar a los ciudadanos el acceso a la justicia.6</w:t>
            </w:r>
            <w:r w:rsidRPr="001B7F27">
              <w:rPr>
                <w:rFonts w:ascii="Arial" w:eastAsia="Times New Roman" w:hAnsi="Arial" w:cs="Arial"/>
                <w:color w:val="003399"/>
                <w:sz w:val="17"/>
                <w:szCs w:val="17"/>
                <w:lang w:eastAsia="es-AR"/>
              </w:rPr>
              <w:br/>
              <w:t>Merece mención asimismo, las declaraciones internacionales sobre los derechos humanos, como es el caso de la “Declaración Americana de los Derechos y Deberes del Hombre” que en su artículo XVIII “Derecho a la Justicia” garantiza: “Toda persona puede concurrir a los tribunales a hacer valer sus derechos....” Esta idea engloba la síntesis republicana y participativa que nuestra constitución nacional también garantiza, en virtud del cual, nuestra república debe otorgar a los ciudadanos las herramientas legales adecuadas a fin de poder obtener el amparo de la justicia y de poder participar hábilmente en los actos decisivos de la misma. Este principio se extiende, en definitiva a la hora de plantearnos la necesidad de la figura del Querellante en el proceso penal.</w:t>
            </w:r>
            <w:r w:rsidRPr="001B7F27">
              <w:rPr>
                <w:rFonts w:ascii="Arial" w:eastAsia="Times New Roman" w:hAnsi="Arial" w:cs="Arial"/>
                <w:color w:val="003399"/>
                <w:sz w:val="17"/>
                <w:szCs w:val="17"/>
                <w:lang w:eastAsia="es-AR"/>
              </w:rPr>
              <w:br/>
              <w:t>Ciertamente, resultaría de difícil entendimiento para el ciudadano lesionado en sus derechos, que deba contentarse con la mera idea de formular una denuncia penal ante los órganos facultados para ellos y después tener que limitarse en ser un mero espectador pasivo del proceso.</w:t>
            </w:r>
            <w:r w:rsidRPr="001B7F27">
              <w:rPr>
                <w:rFonts w:ascii="Arial" w:eastAsia="Times New Roman" w:hAnsi="Arial" w:cs="Arial"/>
                <w:color w:val="003399"/>
                <w:sz w:val="17"/>
                <w:szCs w:val="17"/>
                <w:lang w:eastAsia="es-AR"/>
              </w:rPr>
              <w:br/>
              <w:t>Merece mención un importante documento del Instituto Interamericano de Derechos Humanos, se señala cuanto sigue: “...Por un lado, el principio de prioridad efectiva de la víctima parece oponerse a la supresión del querellante en los delitos de acción pública. Igualmente, la experiencia de los últimos años en casos de delitos del poder traducidos en gravísimas violaciones a los Derechos Humanos, particularmente en la Argentina, ha indicado que la figura del querellante fue fundamental para obligar a la investigación de tales hechos. Estos argumentos llevarían a postular la necesidad de mantener o establecer la figura del querellante, con facultades análogas a las del Ministerio Público, en el proceso penal, en delitos de acción penal pública, tendencia contraria a la que viene abriéndose paso en varios países, que postula su supresión reemplazo por la figura del “actor civil en el proceso penal.”7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IV. II. Eficaz cooperación para el Ministerio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práctica y la experiencia han demostrado de manera fehaciente que la intervención de la víctima ha significado importantes aportes a la hora del impulso así como, del ofrecimiento de pruebas a ser producidos en la causa, con miras a la dilucidación y sanción a los autores y partícipes. </w:t>
            </w:r>
            <w:r w:rsidRPr="001B7F27">
              <w:rPr>
                <w:rFonts w:ascii="Arial" w:eastAsia="Times New Roman" w:hAnsi="Arial" w:cs="Arial"/>
                <w:color w:val="003399"/>
                <w:sz w:val="17"/>
                <w:szCs w:val="17"/>
                <w:lang w:eastAsia="es-AR"/>
              </w:rPr>
              <w:br/>
              <w:t>Por otra parte, el interés directo del afectado y su participación efectiva en el proceso, ha evitado en más de una oportunidad, la tendencia, tal vez involuntaria, hacia la rutina que caracteriza a los órganos estatales.</w:t>
            </w:r>
            <w:r w:rsidRPr="001B7F27">
              <w:rPr>
                <w:rFonts w:ascii="Arial" w:eastAsia="Times New Roman" w:hAnsi="Arial" w:cs="Arial"/>
                <w:color w:val="003399"/>
                <w:sz w:val="17"/>
                <w:szCs w:val="17"/>
                <w:lang w:eastAsia="es-AR"/>
              </w:rPr>
              <w:br/>
              <w:t>En nuestro país, el Prof. Riquelme reflexionaba comentando sobre la querella, en cuanto a que es posible que, en muchos casos, la querella constituya un obstáculo para la rápida tramitación; que en otros degenere en abuso pernicioso e inmoral; más es indudable que cuando su ejercicio se confía a profesionales honestos y conscientes, su acción es eficaz en el descubrimiento de los hechos, en la aportación de pruebas y, sobre todo, en la vigilancia de las actuaciones.8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IV. III. Es parte integrante de nuestra tradición jurídica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Resulta indudable que la institución del querellante forma parte de nuestra tradición jurídica, por consiguiente nuestro sistema sigue en la tesitura de incorporar a quienes afecta al procedimiento que se dispone para la solución del conflicto que puede representar una infracción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V. Quienes manifiestan sus reservas en cuanto a la implementación de esta figura, señalan cuanto sigue: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 En la práctica, la víctima es impulsado casi siempre por la idea de venganza y un interés pecuniario.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otra parte, los propulsores de la tesis contraria a la posibilidad de otorgar a la víctima la facultad de plantear querella con facultades análogas al del Ministerio Público, es decir autónomas, se funda, esencialmente, en una mala o incorrecta utilización de esta facultad, empleando el sistema de administración de justicia como un instrumento de venganza o de extorsión. Además, apuntan hacia la convicción de que la participación en calidad de parte pondría en peligro la regularidad y la brevedad del juicio y menoscabaría las atribuciones del Ministerio Público, cuyas atribuciones, por el influjo de la investigación fiscal preparatoria, se pretende potenciar. </w:t>
            </w:r>
            <w:r w:rsidRPr="001B7F27">
              <w:rPr>
                <w:rFonts w:ascii="Arial" w:eastAsia="Times New Roman" w:hAnsi="Arial" w:cs="Arial"/>
                <w:color w:val="003399"/>
                <w:sz w:val="17"/>
                <w:szCs w:val="17"/>
                <w:lang w:eastAsia="es-AR"/>
              </w:rPr>
              <w:br/>
              <w:t>Sobre este punto se puede señalar el documento del Instituto Interamericano de Derechos Humanos, que apunto lo siguiente: “.....En sentido contrario, se observó que la experiencia también indica que la presencia del querellante en los delitos de acción pública es masivamente usada para entablar acciones penales en supuestos delitos contra la propiedad, fundamentalmente en defraudaciones, como medio de instrumentar al proceso penal erigiéndolo en recurso coactivo para el cobro de sumas de dinero, lo que perturba en gran medida el funcionamiento de la administración de justicia. En ese sentido se objetó que, a nivel masivo, el querellante se convierte en un medio de elitizar la justicia en lugar de constituir un medio de ampliar el acceso a la misma...”.9</w:t>
            </w:r>
            <w:r w:rsidRPr="001B7F27">
              <w:rPr>
                <w:rFonts w:ascii="Arial" w:eastAsia="Times New Roman" w:hAnsi="Arial" w:cs="Arial"/>
                <w:color w:val="003399"/>
                <w:sz w:val="17"/>
                <w:szCs w:val="17"/>
                <w:lang w:eastAsia="es-AR"/>
              </w:rPr>
              <w:br/>
              <w:t>El jurista paraguayo, Prof. Riquelme, citando a Jofré, señalaba que la querella, en los delitos de acción pública, responde más a los impulsos del rencor y de la venganza que a hacer efectiva la justicia; los deudos de la víctima carecen de serenidad de espíritu para apreciar los hechos que han motivado el delito o lo que tal se presume. También sucede que aún los mismos directamente perjudicados rehúsan formalizar y continuar una acusación; o porque sus principios humanitarios los inclinan a perdonar al delincuente, o por evitarse molestias y gastos de los procedimientos judiciales, o por sustraerse a las responsabilidades en que pueden incurrir por falta de prueba, o por haberse concertado con el autor del delito”.10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consecuencia, a manera de conclusión podemos apuntar a considerar que no puede ser utilizado como argumento razonable la postura de que el Querellante se mueve en virtud del deseo de venganza, que es un prejuicio del cual la doctrina actual ya se halla superado. 11</w:t>
            </w:r>
            <w:r w:rsidRPr="001B7F27">
              <w:rPr>
                <w:rFonts w:ascii="Arial" w:eastAsia="Times New Roman" w:hAnsi="Arial" w:cs="Arial"/>
                <w:color w:val="003399"/>
                <w:sz w:val="17"/>
                <w:szCs w:val="17"/>
                <w:lang w:eastAsia="es-AR"/>
              </w:rPr>
              <w:br/>
              <w:t xml:space="preserve">La realidad enseña que el estado no puede monopolizar en forma absoluta la persecución penal, ya que no cuenta ni con la estructura, ni los recursos necesarios para ello, debiendo ante esta circunstancia, garantizar al ciudadano las herramientas necesarias a fin de poder intervenir en el proceso con miras a otorgar mayores posibilidades tanto en las indagaciones o pesquisas que pueda realizar con la ayuda del Ministerio Público.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VII. La Querella Adhesiva y su incorporación en el nuevo Código Procesal Penal paraguayo.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VII. I. 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régimen de la querella adhesiva ha sido, después de la investigación fiscal preparatoria y el juicio oral, una de las más controvertidas innovaciones introducidas por los parlamentarios en la Comisión de estudio del proyecto del Código Procesal Penal. Efectivamente, la supresión de la querella autónoma12 del proyecto original, incorporándose en su reemplazo, la figura de la querella adhesiva, delega virtualmente la exclusividad de la persecución penal a </w:t>
            </w:r>
            <w:r w:rsidRPr="001B7F27">
              <w:rPr>
                <w:rFonts w:ascii="Arial" w:eastAsia="Times New Roman" w:hAnsi="Arial" w:cs="Arial"/>
                <w:color w:val="003399"/>
                <w:sz w:val="17"/>
                <w:szCs w:val="17"/>
                <w:lang w:eastAsia="es-AR"/>
              </w:rPr>
              <w:lastRenderedPageBreak/>
              <w:t xml:space="preserve">manos del Ministerio Público. Es decir, si este órgano resuelve no perseguir un hecho punible a los ojos de la víctima, ésta no podrá hacerlo, ya que el nuevo régimen procesal no otorga a la querella una autonomía procesal, principalmente, en lo concerniente al manejo de la acción. Tras la implementación del nuevo código, se han generado numerosas críticas en torno a la implementación de la presenta figura, en vista de que la misma, en la práctica genera impedimentos para la libre participación de la víctima en el proceso penal, por las razones que ya señalamos precedentemente, lo que implica, en cierta manera, una restricción del acceso a la Justicia a la víctima que pretende querellar en los hechos punibles de acción pública. </w:t>
            </w:r>
            <w:r w:rsidRPr="001B7F27">
              <w:rPr>
                <w:rFonts w:ascii="Arial" w:eastAsia="Times New Roman" w:hAnsi="Arial" w:cs="Arial"/>
                <w:color w:val="003399"/>
                <w:sz w:val="17"/>
                <w:szCs w:val="17"/>
                <w:lang w:eastAsia="es-AR"/>
              </w:rPr>
              <w:br/>
              <w:t xml:space="preserve">Desde otra perspectiva, para quienes la defienden, argumentan que en la práctica, un Ministerio Público, como parte del aparato estatal y con los debidos controles formales, representa mayores garantías para el imputado, y en consecuencia para una adecuada persecución penal pública ya que a partir del hecho de que la investigación fiscal debe ser realizado con criterios objetivos, y con la debida transparencia, ésta debe también encontrarse desprovisto de pasiones humanas, cosa que, en muchos casos, no sucede con la querella.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VIII. El querellante adhesivo.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el jurista alemán Claus Roxin, quien realiza sus comentarios sobre el acusador adhesivo que se encuentra legislado en el Código Procesal Penal vigente en Alemania, comenta que en la acción adhesiva, junto a la fiscalía, se presenta una persona adhesiva que dispone de derechos procesales propios, el llamado acusador adhesivo. Así, la acción adhesiva pretende dar intervención en el procedimiento a personas que fueron ofendidas por un hecho punible, para su desagravio, para controlar a la fiscalía, así como también para salvaguardar sus derechos.13</w:t>
            </w:r>
            <w:r w:rsidRPr="001B7F27">
              <w:rPr>
                <w:rFonts w:ascii="Arial" w:eastAsia="Times New Roman" w:hAnsi="Arial" w:cs="Arial"/>
                <w:color w:val="003399"/>
                <w:sz w:val="17"/>
                <w:szCs w:val="17"/>
                <w:lang w:eastAsia="es-AR"/>
              </w:rPr>
              <w:br/>
              <w:t>En el Paraguay, Marcos Khon en su comentarios sobre la querella adhesiva en el nuevo código procesal penal apunta que éste tiene una naturaleza especial. De hecho, como su nombre lo expresa, adhiere al ejercicio de la acción penal pública instaurada por el Ministerio Público, o sea, el querellante adhesivo coadyuva con el acusador público sin que tenga entidad propia para llegar al Juicio Oral y Público, puesto que el Ministerio Público pudiera dejar de acusar en la Audiencia Preliminar. Esto no implica que no pueda reclamar con diferentes fundamentos o reclamar una sanción mayor, lo que no puede hacer es postular la acusación si el Ministerio Público no lo hace o solicitar cualquier otra medida de salida previa al Juicio.14</w:t>
            </w:r>
            <w:r w:rsidRPr="001B7F27">
              <w:rPr>
                <w:rFonts w:ascii="Arial" w:eastAsia="Times New Roman" w:hAnsi="Arial" w:cs="Arial"/>
                <w:color w:val="003399"/>
                <w:sz w:val="17"/>
                <w:szCs w:val="17"/>
                <w:lang w:eastAsia="es-AR"/>
              </w:rPr>
              <w:br/>
              <w:t>De acuerdo a los criterios sostenidos por estos juristas en torno al querellante adhesivo, en el procedimiento penal paraguayo, rige en consecuencia el sistema del querellante adhesivo, con facultades restringidas, pudiendo intervenir en el procedimiento iniciado por el Ministe</w:t>
            </w:r>
            <w:r w:rsidRPr="001B7F27">
              <w:rPr>
                <w:rFonts w:ascii="Arial" w:eastAsia="Times New Roman" w:hAnsi="Arial" w:cs="Arial"/>
                <w:color w:val="003399"/>
                <w:sz w:val="17"/>
                <w:szCs w:val="17"/>
                <w:lang w:eastAsia="es-AR"/>
              </w:rPr>
              <w:softHyphen/>
              <w:t>rio Público, con todos los derechos y facultades previstos en la constitución, en el Código Procesal Penal y en las leyes. En tal sentido, según se desprende de la normativa en este apartado, la prosecución e impulso del proceso- para quien pretenda querellar- estará supeditado al previo pedido de notificación del acta de imputación y, así mismo, a la presentación de la acusación por parte del Ministerio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IX. Posición del querellante en nuestro sistema.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Desde otra perspectiva, la letra del código no implica que el querellante deba asumir un actitud pasiva y expectante en relación al Fiscal Interviniente; antes bien, debe prestar su apoyo y su dinamismo para el impulso de la causa, ya que, siempre el aporte del querellante con respecto a sus conocimientos en cuanto a los hechos querellados, podrán de seguro aportar elementos que serán importantes a la hora de presentar la pretensión punitiva en la acusación.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 Críticas al Sistema del Querellante Adhesivo.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acuerdo a la concepción del código, que guarda una estricta concordancia con el sistema acusatorio de enjuiciamiento criminal, que deriva en forma directa del monopolio de la acción penal pública, tuvo sus evidentes efectos en la política procesal en cuanto al nivel de intervención de la víctima dentro del proceso penal. Conforme puede apreciarse, la adopción del sistema del querellante adhesivo, desconocido en nuestra tradición jurídica, estableció un punto de tensión, en donde se podía apreciar un sensible fortalecimiento del Ministerio Público en esta redefinición de roles, con una defensa con mayores posibilidades, a través de las garantías procesales establecidas en el nuevo proceso penal, en contrapartida, a una sensible disminución de las facultades del querellante, en los hechos punibles de acción penal pública, al tener que necesariamente adherirse a lo requerido por el Ministerio Público, sin posibilidad de actuar con independencia del Agente Fiscal Interviniente.</w:t>
            </w:r>
            <w:r w:rsidRPr="001B7F27">
              <w:rPr>
                <w:rFonts w:ascii="Arial" w:eastAsia="Times New Roman" w:hAnsi="Arial" w:cs="Arial"/>
                <w:color w:val="003399"/>
                <w:sz w:val="17"/>
                <w:szCs w:val="17"/>
                <w:lang w:eastAsia="es-AR"/>
              </w:rPr>
              <w:br/>
              <w:t xml:space="preserve">Haciendo un análisis de tal situación, se podría sostener de que existe un cercenamiento para el ciudadano de la posibilidad de plantear su pretensión penal ante la administración de justicia, negándole, en consecuencia, su derecho a la jurisdicción; en el hecho de que el tribunal no podrá aplicar el derecho atendiendo a las reclamaciones que ante ellos se formulen. Efectivamente, el particular damnificado no podrá ejercer válidamente su derecho a la jurisdicción- previsto en art. 47 “De las garantías de la igualdad” de la Constitución Nacional- que lleva en forma implícita una serie de facultades básicas: la de iniciar el proceso, y de proseguirlo hasta su terminación, con todas las facultades derivadas que ello implica. Si el Ministerio Público no presenta acusación, por algún motivo, entonces el querellante no podrá sustentar ni defender sus solicitudes de reivindicación ante el órgano jurisdiccional, no pudiendo, en consecuencia llevar adelante el juicio penal para la reparación del daño, así como la imposición de la sanción penal que corresponda conforme al hecho punible en cuestión. </w:t>
            </w:r>
            <w:r w:rsidRPr="001B7F27">
              <w:rPr>
                <w:rFonts w:ascii="Arial" w:eastAsia="Times New Roman" w:hAnsi="Arial" w:cs="Arial"/>
                <w:color w:val="003399"/>
                <w:sz w:val="17"/>
                <w:szCs w:val="17"/>
                <w:lang w:eastAsia="es-AR"/>
              </w:rPr>
              <w:br/>
              <w:t xml:space="preserve">Esta discusión no puede considerarse nueva, ya que en la doctrina y la jurisprudencia en Latinoamérica y </w:t>
            </w:r>
            <w:r w:rsidRPr="001B7F27">
              <w:rPr>
                <w:rFonts w:ascii="Arial" w:eastAsia="Times New Roman" w:hAnsi="Arial" w:cs="Arial"/>
                <w:color w:val="003399"/>
                <w:sz w:val="17"/>
                <w:szCs w:val="17"/>
                <w:lang w:eastAsia="es-AR"/>
              </w:rPr>
              <w:lastRenderedPageBreak/>
              <w:t xml:space="preserve">principalmente en la Argentina en donde habrían surgido posturas verdaderamente antagónicas en relación a la posición de la querella en el proceso penal, como lo fue el famoso caso “Santillán”15, que produjeron debates enriquecedores para el desarrollo de esta figura. </w:t>
            </w:r>
            <w:r w:rsidRPr="001B7F27">
              <w:rPr>
                <w:rFonts w:ascii="Arial" w:eastAsia="Times New Roman" w:hAnsi="Arial" w:cs="Arial"/>
                <w:color w:val="003399"/>
                <w:sz w:val="17"/>
                <w:szCs w:val="17"/>
                <w:lang w:eastAsia="es-AR"/>
              </w:rPr>
              <w:br/>
              <w:t>En la Argentina, habrían surgido discusiones en torno a las limitaciones que surgen a partir del sistema de la querella conjunta- que incluso contempla mayores facultades en comparación al querellante adhesivo- establecido en el código procesal penal para los delitos de acción penal pública. Entre quienes critican esta figura tenemos la opinión del respetable constitucionalista argentino, el Dr. Germán Bidart Campos quien, en un artículo titulado “¿Es inconstitucional inhibir la actividad del particular querellante y del juez cuando en los delitos de acción pública falta la intervención del Ministerio Público?”, que fuera publicado en la Revista “El Derecho” de Argentina, criticaba la normativa en cuanto a las atribuciones conferidas al querellante dentro en el proceso penal, resaltando que: “...sí dejamos bien establecido en que, con o sin normas de tipo de ese tipo y en cualquier sentido que sobre el punto adopten, hay un principio constitucional indudable que damos por implícito entre lo que hacen al proceso penal que es éste: la legitimación de querellante en los delitos de acción pública, razonablemente regulada por las leyes procesales, conduce a sostener que, con o sin acusación del Ministerio Público, el proceso penal debe ser impulsado, tramitado y concluido.</w:t>
            </w:r>
            <w:r w:rsidRPr="001B7F27">
              <w:rPr>
                <w:rFonts w:ascii="Arial" w:eastAsia="Times New Roman" w:hAnsi="Arial" w:cs="Arial"/>
                <w:color w:val="003399"/>
                <w:sz w:val="17"/>
                <w:szCs w:val="17"/>
                <w:lang w:eastAsia="es-AR"/>
              </w:rPr>
              <w:br/>
              <w:t>¿ No es acaso un corolario, casi axiomático del derecho de defensa en juicio? Cómo podría defenderse la víctima de un delito de acción pública si por la inacción del fiscal no pudiera incitar ella el proceso penal para la reparación del daño que le ha sido inferido, sea este daño patrimonial o no?</w:t>
            </w:r>
            <w:r w:rsidRPr="001B7F27">
              <w:rPr>
                <w:rFonts w:ascii="Arial" w:eastAsia="Times New Roman" w:hAnsi="Arial" w:cs="Arial"/>
                <w:color w:val="003399"/>
                <w:sz w:val="17"/>
                <w:szCs w:val="17"/>
                <w:lang w:eastAsia="es-AR"/>
              </w:rPr>
              <w:br/>
              <w:t>La amputación gravísima de este derecho de defensa, y la indefensión total en que quedaría la víctima del delito de acción pública cuando faltara la acusación fiscal, nos proporcionan criterio standard de rango constitucional que nos parece difícil de reemplazar o negar con alegatos de cualquier índole...”16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XII. Garantías previstas en el código para tutelar la posición del Querellante Adhesivo en el proceso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nuestro procedimiento penal, la víctima o su representante legal, en calidad de querellante, tienen la facultad de intervenir en el procedimiento iniciado por el Ministe</w:t>
            </w:r>
            <w:r w:rsidRPr="001B7F27">
              <w:rPr>
                <w:rFonts w:ascii="Arial" w:eastAsia="Times New Roman" w:hAnsi="Arial" w:cs="Arial"/>
                <w:color w:val="003399"/>
                <w:sz w:val="17"/>
                <w:szCs w:val="17"/>
                <w:lang w:eastAsia="es-AR"/>
              </w:rPr>
              <w:softHyphen/>
              <w:t>rio Público, con todos los derechos y facultades previstos en la Constitución, en el código procesal penal y en las leyes. En tal sentido, según se desprende de la normativa en este apartado, la prosecución e impulso del proceso, para quien pretenda querellar, estará supeditado al previo pedido de notificación del acta de imputación.17</w:t>
            </w:r>
            <w:r w:rsidRPr="001B7F27">
              <w:rPr>
                <w:rFonts w:ascii="Arial" w:eastAsia="Times New Roman" w:hAnsi="Arial" w:cs="Arial"/>
                <w:color w:val="003399"/>
                <w:sz w:val="17"/>
                <w:szCs w:val="17"/>
                <w:lang w:eastAsia="es-AR"/>
              </w:rPr>
              <w:br/>
              <w:t xml:space="preserve">Esta nueva construcción del régimen de la acción, lleva a formularnos la siguiente interrogante: ¿ Existen herramientas que el querellante pueda hacer uso en el nuevo proceso, a los fines de llevar adelante su pretensión? Podemos responder de manera afirmativa, ya que el código prevé las herramientas que pueden ser utilizados por el querellante en caso que el Agente Fiscal incurra en una arbitrariedad cuando pretenda la desestimación de una querella con serios fundamentos y con elementos constitutivos que ameritan la apertura de un procedimiento penal. Efectivamente, el Código Procesal Penal establece, en primer lugar la facultad de recurrir la resolución que da lugar a la desestimación. </w:t>
            </w:r>
            <w:r w:rsidRPr="001B7F27">
              <w:rPr>
                <w:rFonts w:ascii="Arial" w:eastAsia="Times New Roman" w:hAnsi="Arial" w:cs="Arial"/>
                <w:color w:val="003399"/>
                <w:sz w:val="17"/>
                <w:szCs w:val="17"/>
                <w:lang w:eastAsia="es-AR"/>
              </w:rPr>
              <w:br/>
              <w:t>Por otra parte, el Juez Penal de Garantías también puede realizar un control, en cuanto a la posibilidad de rechazar el requerimiento de desestimación, cuando vea que existe mérito para iniciar la investigación, remitiendo nuevamente las actua</w:t>
            </w:r>
            <w:r w:rsidRPr="001B7F27">
              <w:rPr>
                <w:rFonts w:ascii="Arial" w:eastAsia="Times New Roman" w:hAnsi="Arial" w:cs="Arial"/>
                <w:color w:val="003399"/>
                <w:sz w:val="17"/>
                <w:szCs w:val="17"/>
                <w:lang w:eastAsia="es-AR"/>
              </w:rPr>
              <w:softHyphen/>
              <w:t>ciones al agente fiscal para que modifique su petición en el plazo máximo de diez días. Incluso, en el caso que el fiscal siga sosteniendo su postura y en tal sentido, ratifique su requerimiento y el juez insista que en su oposición serían enviadas las actuaciones al Fiscal General del Estado, o al fiscal superior que él haya designado, que podría ser el Delegado de Circunscripción o Superintendente Regional o el Fiscal Adjunto en lo Penal, para que peticione nuevamente o ratifique lo actuado por el fiscal inferior.18 Frente a tales casos, sostenemos poco probable, que el Ministerio Público insista en su solicitud, que será en los casos en que manifiestamente no existiera hecho punible, ya que incluso el Fiscal General del Estado absorbería también su cuota de responsabilidad en el caso de abortar una investigación. Tenemos entonces que el Fiscal General del Estado podrá realizar un control sobre el mérito de la determinación del Agente Fiscal.</w:t>
            </w:r>
            <w:r w:rsidRPr="001B7F27">
              <w:rPr>
                <w:rFonts w:ascii="Arial" w:eastAsia="Times New Roman" w:hAnsi="Arial" w:cs="Arial"/>
                <w:color w:val="003399"/>
                <w:sz w:val="17"/>
                <w:szCs w:val="17"/>
                <w:lang w:eastAsia="es-AR"/>
              </w:rPr>
              <w:br/>
              <w:t>Sostenemos, asimismo, que el Agente Fiscal no estará exento de responsabilidad cuando pretenda actuar en forma caprichosa o arbitraria, pudiendo incluso incurrir en mal desempeño de sus funciones, que es causal de enjuiciamiento ante el Jurado de Enjuiciamiento de Magistrado, según los términos de la ley 1.084/98 que, regula el procedimiento para el enjuiciamiento y remoción de Magistrados.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XIII. Posición del querellante en nuestro sistema.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Desde otra perspectiva, la letra del código no implica que el querellante deba asumir un actitud pasiva y expectante en relación al Fiscal Interviniente; antes bien, debe prestar su apoyo y su dinamismo para el impulso de la causa, ya que, siempre el aporte del querellante con respecto a sus conocimientos en cuanto a los hechos querellados, podrán de seguro aportar elementos que serán importantes a la hora de presentar la pretensión punitiva en la acusación. Cabe resaltar la opinión del Dr. Guariglia, quien manifestó sobre el querellante adhesivo, en el marco del debate sobre el proyecto de Código Procesal Penal de la Provincia de Santa Fe los días 2 y 3 de julio de 1.993, que: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querellante adhesivo provoca también un control muy fuerte sobre la actividad del Ministerio Público y para eso está.</w:t>
            </w:r>
            <w:r w:rsidRPr="001B7F27">
              <w:rPr>
                <w:rFonts w:ascii="Arial" w:eastAsia="Times New Roman" w:hAnsi="Arial" w:cs="Arial"/>
                <w:color w:val="003399"/>
                <w:sz w:val="17"/>
                <w:szCs w:val="17"/>
                <w:lang w:eastAsia="es-AR"/>
              </w:rPr>
              <w:br/>
              <w:t xml:space="preserve">No es solamente colaborador, también es controlador, a punto tal que él se puede oponer, por ejemplo a los </w:t>
            </w:r>
            <w:r w:rsidRPr="001B7F27">
              <w:rPr>
                <w:rFonts w:ascii="Arial" w:eastAsia="Times New Roman" w:hAnsi="Arial" w:cs="Arial"/>
                <w:color w:val="003399"/>
                <w:sz w:val="17"/>
                <w:szCs w:val="17"/>
                <w:lang w:eastAsia="es-AR"/>
              </w:rPr>
              <w:lastRenderedPageBreak/>
              <w:t>requerimientos conclusivos anticipados del Ministerio Público. No está para ayudar al Ministerio Público, no es un colaboracionista a secas, sino que su idea es que también provoque cierto control de legalidad, sobre los mismos actos del Ministerio Público, ¿ Cómo se traduce ese control?- Varía según el modelo de enjuiciamiento que se adopte: será un control jurisdiccional o será un control interno, pero la idea es ésta. No es un co-investigador, solamente, sino que es una persona que está ahí en torno del Ministerio Público, obligándolo a actuar y en todo caso provocando un control sobre decisiones que él considera objetables.”19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XIX. Rasgos esenciales del querellante adhesivo en nuestro sistema.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letra del código no implica que el querellante deba asumir un actitud pasiva y expectante en relación al Fiscal Interviniente; antes bien, debe prestar su apoyo y su dinamismo para el impulso de la causa, ya que, siempre el aporte del querellante con respecto a sus conocimientos en cuanto a los hechos querellados, podrán de seguro aportar elementos que serán importantes a la hora de presentar la pretensión punitiva en la acusación.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Características esenciales del sistema de la querella adhesiva en nuestro código procesal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Interviene en el proceso penal, para su desagravio, para controlar a la fiscalía, </w:t>
            </w:r>
            <w:r w:rsidRPr="001B7F27">
              <w:rPr>
                <w:rFonts w:ascii="Arial" w:eastAsia="Times New Roman" w:hAnsi="Arial" w:cs="Arial"/>
                <w:color w:val="003399"/>
                <w:sz w:val="17"/>
                <w:szCs w:val="17"/>
                <w:lang w:eastAsia="es-AR"/>
              </w:rPr>
              <w:br/>
              <w:t>Participa también para salvaguardar sus derechos,</w:t>
            </w:r>
            <w:r w:rsidRPr="001B7F27">
              <w:rPr>
                <w:rFonts w:ascii="Arial" w:eastAsia="Times New Roman" w:hAnsi="Arial" w:cs="Arial"/>
                <w:color w:val="003399"/>
                <w:sz w:val="17"/>
                <w:szCs w:val="17"/>
                <w:lang w:eastAsia="es-AR"/>
              </w:rPr>
              <w:br/>
              <w:t>Puede colaborar con el Ministerio Público,</w:t>
            </w:r>
            <w:r w:rsidRPr="001B7F27">
              <w:rPr>
                <w:rFonts w:ascii="Arial" w:eastAsia="Times New Roman" w:hAnsi="Arial" w:cs="Arial"/>
                <w:color w:val="003399"/>
                <w:sz w:val="17"/>
                <w:szCs w:val="17"/>
                <w:lang w:eastAsia="es-AR"/>
              </w:rPr>
              <w:br/>
              <w:t>Puede reclamar con diferentes fundamentos en la etapa preparatoria, una vez presentada la imputación,</w:t>
            </w:r>
            <w:r w:rsidRPr="001B7F27">
              <w:rPr>
                <w:rFonts w:ascii="Arial" w:eastAsia="Times New Roman" w:hAnsi="Arial" w:cs="Arial"/>
                <w:color w:val="003399"/>
                <w:sz w:val="17"/>
                <w:szCs w:val="17"/>
                <w:lang w:eastAsia="es-AR"/>
              </w:rPr>
              <w:br/>
              <w:t xml:space="preserve">Puede instar, en materia de medidas cautelares, exigencias distintas a la solicitada por el Ministerio Público, </w:t>
            </w:r>
            <w:r w:rsidRPr="001B7F27">
              <w:rPr>
                <w:rFonts w:ascii="Arial" w:eastAsia="Times New Roman" w:hAnsi="Arial" w:cs="Arial"/>
                <w:color w:val="003399"/>
                <w:sz w:val="17"/>
                <w:szCs w:val="17"/>
                <w:lang w:eastAsia="es-AR"/>
              </w:rPr>
              <w:br/>
              <w:t>Carece de independencia propia para llegar al Juicio Oral y Público, en el supuesto en que el Ministerio Público pudiera dejar de acusar en la Audiencia Preliminar,</w:t>
            </w:r>
            <w:r w:rsidRPr="001B7F27">
              <w:rPr>
                <w:rFonts w:ascii="Arial" w:eastAsia="Times New Roman" w:hAnsi="Arial" w:cs="Arial"/>
                <w:color w:val="003399"/>
                <w:sz w:val="17"/>
                <w:szCs w:val="17"/>
                <w:lang w:eastAsia="es-AR"/>
              </w:rPr>
              <w:br/>
              <w:t>Tiene la facultad de adherirse a la acusación y a las conclusiones del ministerio fiscal;</w:t>
            </w:r>
            <w:r w:rsidRPr="001B7F27">
              <w:rPr>
                <w:rFonts w:ascii="Arial" w:eastAsia="Times New Roman" w:hAnsi="Arial" w:cs="Arial"/>
                <w:color w:val="003399"/>
                <w:sz w:val="17"/>
                <w:szCs w:val="17"/>
                <w:lang w:eastAsia="es-AR"/>
              </w:rPr>
              <w:br/>
              <w:t>Puede reclamar una sanción mayor, una vez presentada la acusación con el Ministerio Público,</w:t>
            </w:r>
            <w:r w:rsidRPr="001B7F27">
              <w:rPr>
                <w:rFonts w:ascii="Arial" w:eastAsia="Times New Roman" w:hAnsi="Arial" w:cs="Arial"/>
                <w:color w:val="003399"/>
                <w:sz w:val="17"/>
                <w:szCs w:val="17"/>
                <w:lang w:eastAsia="es-AR"/>
              </w:rPr>
              <w:br/>
              <w:t>Carece de potestad para solicitar cualquier otra medida de salida previa al Juicio.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Facultades y obligaciones del querellante en el proceso penal paraguayo</w:t>
            </w:r>
            <w:r w:rsidRPr="001B7F27">
              <w:rPr>
                <w:rFonts w:ascii="Arial" w:eastAsia="Times New Roman" w:hAnsi="Arial" w:cs="Arial"/>
                <w:color w:val="003399"/>
                <w:sz w:val="17"/>
                <w:szCs w:val="17"/>
                <w:lang w:eastAsia="es-AR"/>
              </w:rPr>
              <w:br/>
              <w:t>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desarrollo del presente trabajo, tuvimos en cuenta la posibilidad de realizar una exposición en base al texto del código procesal penal, y tras un estudio integral extraer las facultades y obligaciones del querellante en nuestro sistema procesal penal, a los fines de poder definir su ámbito normativo, sin que este desarrollo implique que su estudio, en el Código Procesal Penal, pueda estar agotado, pudiendo surgir naturalmente otras facultades a partir de otros enfoques. He aquí entonces, una síntesis: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XX. I. En la Etapa Preparatoria.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 I. En relación a las salidas alternativas al procedimiento.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Solicitar la suspensión condicional del procedimiento, cuando sea posible la suspensión a prueba de la ejecución de la condena en las condiciones establecidas en el código penal, conforme los señala el Art. 21. “Suspensión condicional del Procedimiento”.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 II. En relación a Incidentes</w:t>
            </w:r>
            <w:r w:rsidRPr="001B7F27">
              <w:rPr>
                <w:rFonts w:ascii="Arial" w:eastAsia="Times New Roman" w:hAnsi="Arial" w:cs="Arial"/>
                <w:color w:val="003399"/>
                <w:sz w:val="17"/>
                <w:szCs w:val="17"/>
                <w:lang w:eastAsia="es-AR"/>
              </w:rPr>
              <w:br/>
              <w:t>Podrá plantear una cues</w:t>
            </w:r>
            <w:r w:rsidRPr="001B7F27">
              <w:rPr>
                <w:rFonts w:ascii="Arial" w:eastAsia="Times New Roman" w:hAnsi="Arial" w:cs="Arial"/>
                <w:color w:val="003399"/>
                <w:sz w:val="17"/>
                <w:szCs w:val="17"/>
                <w:lang w:eastAsia="es-AR"/>
              </w:rPr>
              <w:softHyphen/>
              <w:t>tión prejudicial, conforme señala el art. 327 “Cuestión prejudicial” ante el juez, por escrito fundado, y oralmente en el juicio, cuando sea necesario deter</w:t>
            </w:r>
            <w:r w:rsidRPr="001B7F27">
              <w:rPr>
                <w:rFonts w:ascii="Arial" w:eastAsia="Times New Roman" w:hAnsi="Arial" w:cs="Arial"/>
                <w:color w:val="003399"/>
                <w:sz w:val="17"/>
                <w:szCs w:val="17"/>
                <w:lang w:eastAsia="es-AR"/>
              </w:rPr>
              <w:softHyphen/>
              <w:t>minar por un procedimiento extrapenal la existencia de uno de los elemen</w:t>
            </w:r>
            <w:r w:rsidRPr="001B7F27">
              <w:rPr>
                <w:rFonts w:ascii="Arial" w:eastAsia="Times New Roman" w:hAnsi="Arial" w:cs="Arial"/>
                <w:color w:val="003399"/>
                <w:sz w:val="17"/>
                <w:szCs w:val="17"/>
                <w:lang w:eastAsia="es-AR"/>
              </w:rPr>
              <w:softHyphen/>
              <w:t>tos constitutivos del hecho punible.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 III. Facultades y Obligaciones en el transcurso de la etapa preparatoria.</w:t>
            </w:r>
            <w:r w:rsidRPr="001B7F27">
              <w:rPr>
                <w:rFonts w:ascii="Arial" w:eastAsia="Times New Roman" w:hAnsi="Arial" w:cs="Arial"/>
                <w:color w:val="003399"/>
                <w:sz w:val="17"/>
                <w:szCs w:val="17"/>
                <w:lang w:eastAsia="es-AR"/>
              </w:rPr>
              <w:br/>
              <w:t>Derechos Procesales del Querellante Adhesivo.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Intervenir en los hechos punibles de acción pública, en el procedimiento iniciado por el Ministe</w:t>
            </w:r>
            <w:r w:rsidRPr="001B7F27">
              <w:rPr>
                <w:rFonts w:ascii="Arial" w:eastAsia="Times New Roman" w:hAnsi="Arial" w:cs="Arial"/>
                <w:color w:val="003399"/>
                <w:sz w:val="17"/>
                <w:szCs w:val="17"/>
                <w:lang w:eastAsia="es-AR"/>
              </w:rPr>
              <w:softHyphen/>
              <w:t>rio Público, con todos los derechos y facultades previstos en la Constitución, en este código y en las leyes.</w:t>
            </w:r>
            <w:r w:rsidRPr="001B7F27">
              <w:rPr>
                <w:rFonts w:ascii="Arial" w:eastAsia="Times New Roman" w:hAnsi="Arial" w:cs="Arial"/>
                <w:color w:val="003399"/>
                <w:sz w:val="17"/>
                <w:szCs w:val="17"/>
                <w:lang w:eastAsia="es-AR"/>
              </w:rPr>
              <w:br/>
              <w:t>No obstante ello, el código es claro al establecer que la participación de la víctima como querellante no será susceptible de alterar las facultades concedidas por la ley al Ministerio Público y a los tribunales, ni los eximirá de sus responsabilidades, conforme lo señala el Art. 69. “Querellante Adhesivo.”</w:t>
            </w:r>
            <w:r w:rsidRPr="001B7F27">
              <w:rPr>
                <w:rFonts w:ascii="Arial" w:eastAsia="Times New Roman" w:hAnsi="Arial" w:cs="Arial"/>
                <w:color w:val="003399"/>
                <w:sz w:val="17"/>
                <w:szCs w:val="17"/>
                <w:lang w:eastAsia="es-AR"/>
              </w:rPr>
              <w:br/>
              <w:t>Solicitar al Ministerio Público, en la etapa preparatoria, el cabal cumplimiento de la norma, en cuanto a la realización de aquellas diligencias conducentes al descubrimiento de la verdad, la existencia del hecho punible comunicado, individualizar a los autores y particulares, recolectar los elementos probatorios que permitan fundar, en su caso, su correspondiente acusación. “Art. 279. Finalidad”.</w:t>
            </w:r>
            <w:r w:rsidRPr="001B7F27">
              <w:rPr>
                <w:rFonts w:ascii="Arial" w:eastAsia="Times New Roman" w:hAnsi="Arial" w:cs="Arial"/>
                <w:color w:val="003399"/>
                <w:sz w:val="17"/>
                <w:szCs w:val="17"/>
                <w:lang w:eastAsia="es-AR"/>
              </w:rPr>
              <w:br/>
              <w:t>Instar a la investigación Fiscal cuando ponga a conocimiento del Ministerio Público la querella, de acuerdo a lo establecido en el art. 315. “Investigación Fiscal”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XX. I. IV. Atribuciones en cuanto a su relacionamiento con el Ministerio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Solicitar, al Agente Fiscal Interviniente, su intervención y presencia, en el modo previsto en el art. 317 “Participación en los actos” en los actos que practique, siempre y cuando su participación no obstruya el desarrol</w:t>
            </w:r>
            <w:r w:rsidRPr="001B7F27">
              <w:rPr>
                <w:rFonts w:ascii="Arial" w:eastAsia="Times New Roman" w:hAnsi="Arial" w:cs="Arial"/>
                <w:color w:val="003399"/>
                <w:sz w:val="17"/>
                <w:szCs w:val="17"/>
                <w:lang w:eastAsia="es-AR"/>
              </w:rPr>
              <w:softHyphen/>
              <w:t xml:space="preserve">lo de las actividades. </w:t>
            </w:r>
            <w:r w:rsidRPr="001B7F27">
              <w:rPr>
                <w:rFonts w:ascii="Arial" w:eastAsia="Times New Roman" w:hAnsi="Arial" w:cs="Arial"/>
                <w:color w:val="003399"/>
                <w:sz w:val="17"/>
                <w:szCs w:val="17"/>
                <w:lang w:eastAsia="es-AR"/>
              </w:rPr>
              <w:br/>
              <w:t>Proponer diligencias, conforme señala el art. 318. “Proposición de diligencias” en cualquier momento de la inves</w:t>
            </w:r>
            <w:r w:rsidRPr="001B7F27">
              <w:rPr>
                <w:rFonts w:ascii="Arial" w:eastAsia="Times New Roman" w:hAnsi="Arial" w:cs="Arial"/>
                <w:color w:val="003399"/>
                <w:sz w:val="17"/>
                <w:szCs w:val="17"/>
                <w:lang w:eastAsia="es-AR"/>
              </w:rPr>
              <w:softHyphen/>
              <w:t>tigación. En estos casos, el Ministerio Público deberá realizarlas si las considera pertinen</w:t>
            </w:r>
            <w:r w:rsidRPr="001B7F27">
              <w:rPr>
                <w:rFonts w:ascii="Arial" w:eastAsia="Times New Roman" w:hAnsi="Arial" w:cs="Arial"/>
                <w:color w:val="003399"/>
                <w:sz w:val="17"/>
                <w:szCs w:val="17"/>
                <w:lang w:eastAsia="es-AR"/>
              </w:rPr>
              <w:softHyphen/>
              <w:t xml:space="preserve">tes y útiles, debiendo hacer constar las razones de su negativa, a los efectos que ulteriormente correspondan. </w:t>
            </w:r>
            <w:r w:rsidRPr="001B7F27">
              <w:rPr>
                <w:rFonts w:ascii="Arial" w:eastAsia="Times New Roman" w:hAnsi="Arial" w:cs="Arial"/>
                <w:color w:val="003399"/>
                <w:sz w:val="17"/>
                <w:szCs w:val="17"/>
                <w:lang w:eastAsia="es-AR"/>
              </w:rPr>
              <w:br/>
              <w:t>Podrá recusar al agente fiscal interviniente, conforme el art. 57. “Inhibición y recusación”, siempre que surjan los presupuestos establecidos en la normativa.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 V. Atribuciones en cuanto a su relacionamiento con los Organos Jurisdiccionales.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Podrá- conforme señala el art. 342. “Recusación”- recusar a un juez alegan</w:t>
            </w:r>
            <w:r w:rsidRPr="001B7F27">
              <w:rPr>
                <w:rFonts w:ascii="Arial" w:eastAsia="Times New Roman" w:hAnsi="Arial" w:cs="Arial"/>
                <w:color w:val="003399"/>
                <w:sz w:val="17"/>
                <w:szCs w:val="17"/>
                <w:lang w:eastAsia="es-AR"/>
              </w:rPr>
              <w:softHyphen/>
              <w:t>do cualquiera de los motivos indicados, debiendo, conforme al art. 343 “Forma y tiempo”, interponerla por escrito, en cualquier estado del procedimiento, indicando los motivos en que se funda y los elementos de prueba pertinentes. La interposición de recusaciones manifiestamente infundadas o de modo repetitivo con la finalidad de entorpecer la marcha del procedimiento se considerará falta profesional grave.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 VI. Obligaciones del querellante en su desempeño procesal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Tiene el deber de litigar con Buena Fe, conforme lo señala el art. 112. “Buena Fe”, evitando los planteos dilatorios y cualquier abuso de las facultades que el código procesal penal les concede. En lo concerniente al régimen de las medidas cautelares, solo podrá peticionar la prisión preventiva del procesado cuando ella no sea absolutamente necesaria para asegurar las finalidades del procedimiento.</w:t>
            </w:r>
            <w:r w:rsidRPr="001B7F27">
              <w:rPr>
                <w:rFonts w:ascii="Arial" w:eastAsia="Times New Roman" w:hAnsi="Arial" w:cs="Arial"/>
                <w:color w:val="003399"/>
                <w:sz w:val="17"/>
                <w:szCs w:val="17"/>
                <w:lang w:eastAsia="es-AR"/>
              </w:rPr>
              <w:br/>
              <w:t>No podrán designar durante la tramitación del procedimiento, apoderados o patrocinantes que se hallaren comprendidos respecto del magistrado, en una notoria relación para obligarlo a inhibirse por cualquiera de las causales enumeradas en el artículo 50 “Motivos”, del código procesal penal. Los jueces cancelarán todo nombramiento o patrocinio que se haga infringiendo esta prohibición, sin perjuicio de las demás sanciones establecidas en este código. Los abogados designados por el imputado en su primer acto de intervención en el procedimiento, estarán exentos de esta prohibición.</w:t>
            </w:r>
            <w:r w:rsidRPr="001B7F27">
              <w:rPr>
                <w:rFonts w:ascii="Arial" w:eastAsia="Times New Roman" w:hAnsi="Arial" w:cs="Arial"/>
                <w:color w:val="003399"/>
                <w:sz w:val="17"/>
                <w:szCs w:val="17"/>
                <w:lang w:eastAsia="es-AR"/>
              </w:rPr>
              <w:br/>
              <w:t>Será susceptible de sanciones, conforme lo señala el art. 114. “Sanciones” cuando se compruebe en su desempeño procesal mala fe o litigue con temeridad. Cuando se constate tal supuesto, los jueces podrán sancionar hasta con cien días multa en casos graves o reiterados y, en los demás casos, con hasta cincuenta días multa o apercibimientos. Para la aplicación de la multa regirá lo establecido en el Código Penal. Antes de imponer cualquier sanción procesal se oirá al afectado.</w:t>
            </w:r>
            <w:r w:rsidRPr="001B7F27">
              <w:rPr>
                <w:rFonts w:ascii="Arial" w:eastAsia="Times New Roman" w:hAnsi="Arial" w:cs="Arial"/>
                <w:color w:val="003399"/>
                <w:sz w:val="17"/>
                <w:szCs w:val="17"/>
                <w:lang w:eastAsia="es-AR"/>
              </w:rPr>
              <w:br/>
              <w:t>El querellante podrá apelar las sanciones procesales, con efecto suspensivo.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 VII. Atribuciones del querellante en el transcurso del proceso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Podrá renunciar el plazo a cuyo favor se ha establecido, o bien, abreviarlo, según señala el art. 130. “Renuncia o abreviación” mediante expresa manifestación de vo</w:t>
            </w:r>
            <w:r w:rsidRPr="001B7F27">
              <w:rPr>
                <w:rFonts w:ascii="Arial" w:eastAsia="Times New Roman" w:hAnsi="Arial" w:cs="Arial"/>
                <w:color w:val="003399"/>
                <w:sz w:val="17"/>
                <w:szCs w:val="17"/>
                <w:lang w:eastAsia="es-AR"/>
              </w:rPr>
              <w:softHyphen/>
              <w:t>luntad.</w:t>
            </w:r>
            <w:r w:rsidRPr="001B7F27">
              <w:rPr>
                <w:rFonts w:ascii="Arial" w:eastAsia="Times New Roman" w:hAnsi="Arial" w:cs="Arial"/>
                <w:color w:val="003399"/>
                <w:sz w:val="17"/>
                <w:szCs w:val="17"/>
                <w:lang w:eastAsia="es-AR"/>
              </w:rPr>
              <w:br/>
              <w:t>Cuando el plazo sea común, se reputará que existe renuncia o abreviación mediante la expresa manifestación de voluntad de todas las partes.</w:t>
            </w:r>
            <w:r w:rsidRPr="001B7F27">
              <w:rPr>
                <w:rFonts w:ascii="Arial" w:eastAsia="Times New Roman" w:hAnsi="Arial" w:cs="Arial"/>
                <w:color w:val="003399"/>
                <w:sz w:val="17"/>
                <w:szCs w:val="17"/>
                <w:lang w:eastAsia="es-AR"/>
              </w:rPr>
              <w:br/>
              <w:t>Podrá soli</w:t>
            </w:r>
            <w:r w:rsidRPr="001B7F27">
              <w:rPr>
                <w:rFonts w:ascii="Arial" w:eastAsia="Times New Roman" w:hAnsi="Arial" w:cs="Arial"/>
                <w:color w:val="003399"/>
                <w:sz w:val="17"/>
                <w:szCs w:val="17"/>
                <w:lang w:eastAsia="es-AR"/>
              </w:rPr>
              <w:softHyphen/>
              <w:t>c</w:t>
            </w:r>
            <w:r w:rsidRPr="001B7F27">
              <w:rPr>
                <w:rFonts w:ascii="Arial" w:eastAsia="Times New Roman" w:hAnsi="Arial" w:cs="Arial"/>
                <w:color w:val="003399"/>
                <w:sz w:val="17"/>
                <w:szCs w:val="17"/>
                <w:lang w:eastAsia="es-AR"/>
              </w:rPr>
              <w:softHyphen/>
              <w:t>itar la reposición total o parcial del plazo, conforme señala el art. 134. “Reposición del plazo”, cuan</w:t>
            </w:r>
            <w:r w:rsidRPr="001B7F27">
              <w:rPr>
                <w:rFonts w:ascii="Arial" w:eastAsia="Times New Roman" w:hAnsi="Arial" w:cs="Arial"/>
                <w:color w:val="003399"/>
                <w:sz w:val="17"/>
                <w:szCs w:val="17"/>
                <w:lang w:eastAsia="es-AR"/>
              </w:rPr>
              <w:softHyphen/>
              <w:t>do por defecto de la notificación, por razones de fuerza mayor o por caso fortuito, no hayan podido observarlo.</w:t>
            </w:r>
            <w:r w:rsidRPr="001B7F27">
              <w:rPr>
                <w:rFonts w:ascii="Arial" w:eastAsia="Times New Roman" w:hAnsi="Arial" w:cs="Arial"/>
                <w:color w:val="003399"/>
                <w:sz w:val="17"/>
                <w:szCs w:val="17"/>
                <w:lang w:eastAsia="es-AR"/>
              </w:rPr>
              <w:br/>
              <w:t>En tal caso, el querellante deberá presentar la solicitud por escr</w:t>
            </w:r>
            <w:r w:rsidRPr="001B7F27">
              <w:rPr>
                <w:rFonts w:ascii="Arial" w:eastAsia="Times New Roman" w:hAnsi="Arial" w:cs="Arial"/>
                <w:color w:val="003399"/>
                <w:sz w:val="17"/>
                <w:szCs w:val="17"/>
                <w:lang w:eastAsia="es-AR"/>
              </w:rPr>
              <w:softHyphen/>
              <w:t>ito ante el juez o tribunal, dentro de las cuarenta y ocho horas de desapar</w:t>
            </w:r>
            <w:r w:rsidRPr="001B7F27">
              <w:rPr>
                <w:rFonts w:ascii="Arial" w:eastAsia="Times New Roman" w:hAnsi="Arial" w:cs="Arial"/>
                <w:color w:val="003399"/>
                <w:sz w:val="17"/>
                <w:szCs w:val="17"/>
                <w:lang w:eastAsia="es-AR"/>
              </w:rPr>
              <w:softHyphen/>
              <w:t>ecido el impedimento o de conoc</w:t>
            </w:r>
            <w:r w:rsidRPr="001B7F27">
              <w:rPr>
                <w:rFonts w:ascii="Arial" w:eastAsia="Times New Roman" w:hAnsi="Arial" w:cs="Arial"/>
                <w:color w:val="003399"/>
                <w:sz w:val="17"/>
                <w:szCs w:val="17"/>
                <w:lang w:eastAsia="es-AR"/>
              </w:rPr>
              <w:softHyphen/>
              <w:t>ida la providencia que originó el plazo y contendrá una in</w:t>
            </w:r>
            <w:r w:rsidRPr="001B7F27">
              <w:rPr>
                <w:rFonts w:ascii="Arial" w:eastAsia="Times New Roman" w:hAnsi="Arial" w:cs="Arial"/>
                <w:color w:val="003399"/>
                <w:sz w:val="17"/>
                <w:szCs w:val="17"/>
                <w:lang w:eastAsia="es-AR"/>
              </w:rPr>
              <w:softHyphen/>
              <w:t>dicación so</w:t>
            </w:r>
            <w:r w:rsidRPr="001B7F27">
              <w:rPr>
                <w:rFonts w:ascii="Arial" w:eastAsia="Times New Roman" w:hAnsi="Arial" w:cs="Arial"/>
                <w:color w:val="003399"/>
                <w:sz w:val="17"/>
                <w:szCs w:val="17"/>
                <w:lang w:eastAsia="es-AR"/>
              </w:rPr>
              <w:softHyphen/>
              <w:t>mera del motivo que imposibilitó la observancia, su justificación, con mención de todos los elementos de prueba para com</w:t>
            </w:r>
            <w:r w:rsidRPr="001B7F27">
              <w:rPr>
                <w:rFonts w:ascii="Arial" w:eastAsia="Times New Roman" w:hAnsi="Arial" w:cs="Arial"/>
                <w:color w:val="003399"/>
                <w:sz w:val="17"/>
                <w:szCs w:val="17"/>
                <w:lang w:eastAsia="es-AR"/>
              </w:rPr>
              <w:softHyphen/>
              <w:t>probarlo.</w:t>
            </w:r>
            <w:r w:rsidRPr="001B7F27">
              <w:rPr>
                <w:rFonts w:ascii="Arial" w:eastAsia="Times New Roman" w:hAnsi="Arial" w:cs="Arial"/>
                <w:color w:val="003399"/>
                <w:sz w:val="17"/>
                <w:szCs w:val="17"/>
                <w:lang w:eastAsia="es-AR"/>
              </w:rPr>
              <w:br/>
              <w:t>Podrá urgir pronto despacho, según señala el art. 140 “Queja por retardo de justicia”, si el juez o tribunal no dicta la resolución correspondiente en los plaz</w:t>
            </w:r>
            <w:r w:rsidRPr="001B7F27">
              <w:rPr>
                <w:rFonts w:ascii="Arial" w:eastAsia="Times New Roman" w:hAnsi="Arial" w:cs="Arial"/>
                <w:color w:val="003399"/>
                <w:sz w:val="17"/>
                <w:szCs w:val="17"/>
                <w:lang w:eastAsia="es-AR"/>
              </w:rPr>
              <w:softHyphen/>
              <w:t>os que le señala la ley penal de forma. Si dentro de las veinticuatro horas no lo obtiene, podrá interponer queja por retardo de justicia. 20</w:t>
            </w:r>
            <w:r w:rsidRPr="001B7F27">
              <w:rPr>
                <w:rFonts w:ascii="Arial" w:eastAsia="Times New Roman" w:hAnsi="Arial" w:cs="Arial"/>
                <w:color w:val="003399"/>
                <w:sz w:val="17"/>
                <w:szCs w:val="17"/>
                <w:lang w:eastAsia="es-AR"/>
              </w:rPr>
              <w:br/>
              <w:t>En cuanto al régimen de notificación, conforme señala el art. 152 “Lugar”, serán notificadas en el domicilio real o procesal denunciado, salvo cuando expresamente hayan fijado una forma espec</w:t>
            </w:r>
            <w:r w:rsidRPr="001B7F27">
              <w:rPr>
                <w:rFonts w:ascii="Arial" w:eastAsia="Times New Roman" w:hAnsi="Arial" w:cs="Arial"/>
                <w:color w:val="003399"/>
                <w:sz w:val="17"/>
                <w:szCs w:val="17"/>
                <w:lang w:eastAsia="es-AR"/>
              </w:rPr>
              <w:softHyphen/>
              <w:t>ial para ser notificadas.</w:t>
            </w:r>
            <w:r w:rsidRPr="001B7F27">
              <w:rPr>
                <w:rFonts w:ascii="Arial" w:eastAsia="Times New Roman" w:hAnsi="Arial" w:cs="Arial"/>
                <w:color w:val="003399"/>
                <w:sz w:val="17"/>
                <w:szCs w:val="17"/>
                <w:lang w:eastAsia="es-AR"/>
              </w:rPr>
              <w:br/>
              <w:t>Si no han fijado domicilio procesal o espe</w:t>
            </w:r>
            <w:r w:rsidRPr="001B7F27">
              <w:rPr>
                <w:rFonts w:ascii="Arial" w:eastAsia="Times New Roman" w:hAnsi="Arial" w:cs="Arial"/>
                <w:color w:val="003399"/>
                <w:sz w:val="17"/>
                <w:szCs w:val="17"/>
                <w:lang w:eastAsia="es-AR"/>
              </w:rPr>
              <w:softHyphen/>
              <w:t>cificado la forma en que pueden tomar cono</w:t>
            </w:r>
            <w:r w:rsidRPr="001B7F27">
              <w:rPr>
                <w:rFonts w:ascii="Arial" w:eastAsia="Times New Roman" w:hAnsi="Arial" w:cs="Arial"/>
                <w:color w:val="003399"/>
                <w:sz w:val="17"/>
                <w:szCs w:val="17"/>
                <w:lang w:eastAsia="es-AR"/>
              </w:rPr>
              <w:softHyphen/>
              <w:t>ci</w:t>
            </w:r>
            <w:r w:rsidRPr="001B7F27">
              <w:rPr>
                <w:rFonts w:ascii="Arial" w:eastAsia="Times New Roman" w:hAnsi="Arial" w:cs="Arial"/>
                <w:color w:val="003399"/>
                <w:sz w:val="17"/>
                <w:szCs w:val="17"/>
                <w:lang w:eastAsia="es-AR"/>
              </w:rPr>
              <w:softHyphen/>
              <w:t>miento de las notificaciones, se practicará la notificación en cualquier lugar en que se las en</w:t>
            </w:r>
            <w:r w:rsidRPr="001B7F27">
              <w:rPr>
                <w:rFonts w:ascii="Arial" w:eastAsia="Times New Roman" w:hAnsi="Arial" w:cs="Arial"/>
                <w:color w:val="003399"/>
                <w:sz w:val="17"/>
                <w:szCs w:val="17"/>
                <w:lang w:eastAsia="es-AR"/>
              </w:rPr>
              <w:softHyphen/>
              <w:t>cuentre, intimándolas para que fijen domi</w:t>
            </w:r>
            <w:r w:rsidRPr="001B7F27">
              <w:rPr>
                <w:rFonts w:ascii="Arial" w:eastAsia="Times New Roman" w:hAnsi="Arial" w:cs="Arial"/>
                <w:color w:val="003399"/>
                <w:sz w:val="17"/>
                <w:szCs w:val="17"/>
                <w:lang w:eastAsia="es-AR"/>
              </w:rPr>
              <w:softHyphen/>
              <w:t>ci</w:t>
            </w:r>
            <w:r w:rsidRPr="001B7F27">
              <w:rPr>
                <w:rFonts w:ascii="Arial" w:eastAsia="Times New Roman" w:hAnsi="Arial" w:cs="Arial"/>
                <w:color w:val="003399"/>
                <w:sz w:val="17"/>
                <w:szCs w:val="17"/>
                <w:lang w:eastAsia="es-AR"/>
              </w:rPr>
              <w:softHyphen/>
              <w:t xml:space="preserve">lio procesal en el plazo de tres días. </w:t>
            </w:r>
            <w:r w:rsidRPr="001B7F27">
              <w:rPr>
                <w:rFonts w:ascii="Arial" w:eastAsia="Times New Roman" w:hAnsi="Arial" w:cs="Arial"/>
                <w:color w:val="003399"/>
                <w:sz w:val="17"/>
                <w:szCs w:val="17"/>
                <w:lang w:eastAsia="es-AR"/>
              </w:rPr>
              <w:br/>
              <w:t>Podrá presentar peticiones o planteos, conforme señala el art. 331 “Incidentes innominados” que, por su naturaleza o importancia, deban ser debatidas o requieran la producción de prueba.</w:t>
            </w:r>
            <w:r w:rsidRPr="001B7F27">
              <w:rPr>
                <w:rFonts w:ascii="Arial" w:eastAsia="Times New Roman" w:hAnsi="Arial" w:cs="Arial"/>
                <w:color w:val="003399"/>
                <w:sz w:val="17"/>
                <w:szCs w:val="17"/>
                <w:lang w:eastAsia="es-AR"/>
              </w:rPr>
              <w:br/>
              <w:t xml:space="preserve">Podrán valerse de Asistentes no letrados, conforme el art. 110 “Asistentes no letrados”, que colaboren en su tarea, darán a conocer sus datos personales, expresando que asumen la responsabilidad por su elección y vigilancia. Ellos sólo cumplirán tareas accesorias y no podrán sustituir a las personas a quienes asiste en los actos propios de su función. Se permitirá que los asistan en las audiencias, sin tener intervención en ellas. </w:t>
            </w:r>
            <w:r w:rsidRPr="001B7F27">
              <w:rPr>
                <w:rFonts w:ascii="Arial" w:eastAsia="Times New Roman" w:hAnsi="Arial" w:cs="Arial"/>
                <w:color w:val="003399"/>
                <w:sz w:val="17"/>
                <w:szCs w:val="17"/>
                <w:lang w:eastAsia="es-AR"/>
              </w:rPr>
              <w:br/>
              <w:t xml:space="preserve">Podrá formular las preguntas que estime necesarias, conforme al art. 87. “Desarrollo”, con el permiso de quien presida el acto. Cuando el acto concierna la presencia de un menor, será a cargo del Juez Penal de Garantías y del </w:t>
            </w:r>
            <w:r w:rsidRPr="001B7F27">
              <w:rPr>
                <w:rFonts w:ascii="Arial" w:eastAsia="Times New Roman" w:hAnsi="Arial" w:cs="Arial"/>
                <w:color w:val="003399"/>
                <w:sz w:val="17"/>
                <w:szCs w:val="17"/>
                <w:lang w:eastAsia="es-AR"/>
              </w:rPr>
              <w:lastRenderedPageBreak/>
              <w:t>Ministerio Público, cuando éste sea mayor de edad. Sin embargo, dependerá de la anuencia del imputado, de conformidad con el art. 92. “Asistencia durante la investigación”, la presencia del querellante, a quien no es obligatorio notificar la realización del acto.21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XX. I. VIII. Derechos del querellante en cuanto a peticiones para actos de realización de pruebas </w:t>
            </w:r>
            <w:r w:rsidRPr="001B7F27">
              <w:rPr>
                <w:rFonts w:ascii="Arial" w:eastAsia="Times New Roman" w:hAnsi="Arial" w:cs="Arial"/>
                <w:color w:val="003399"/>
                <w:sz w:val="17"/>
                <w:szCs w:val="17"/>
                <w:lang w:eastAsia="es-AR"/>
              </w:rPr>
              <w:br/>
              <w:t>Con el Juzgado Penal de Garantías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Podrá solicitar, conforme el art. 320. “Anticipo jurisdiccional de prueba” cuando sea necesario practicar un reconocimiento, reconstrucción, inspección o peri</w:t>
            </w:r>
            <w:r w:rsidRPr="001B7F27">
              <w:rPr>
                <w:rFonts w:ascii="Arial" w:eastAsia="Times New Roman" w:hAnsi="Arial" w:cs="Arial"/>
                <w:color w:val="003399"/>
                <w:sz w:val="17"/>
                <w:szCs w:val="17"/>
                <w:lang w:eastAsia="es-AR"/>
              </w:rPr>
              <w:softHyphen/>
              <w:t>cia, que por su naturaleza y características deben ser con</w:t>
            </w:r>
            <w:r w:rsidRPr="001B7F27">
              <w:rPr>
                <w:rFonts w:ascii="Arial" w:eastAsia="Times New Roman" w:hAnsi="Arial" w:cs="Arial"/>
                <w:color w:val="003399"/>
                <w:sz w:val="17"/>
                <w:szCs w:val="17"/>
                <w:lang w:eastAsia="es-AR"/>
              </w:rPr>
              <w:softHyphen/>
              <w:t>sidera</w:t>
            </w:r>
            <w:r w:rsidRPr="001B7F27">
              <w:rPr>
                <w:rFonts w:ascii="Arial" w:eastAsia="Times New Roman" w:hAnsi="Arial" w:cs="Arial"/>
                <w:color w:val="003399"/>
                <w:sz w:val="17"/>
                <w:szCs w:val="17"/>
                <w:lang w:eastAsia="es-AR"/>
              </w:rPr>
              <w:softHyphen/>
              <w:t>dos como actos definitivos e irreproducibles, o cuando deba recibirse una declaración que, por algún obstáculo difícil de superar, se presuma que no podrá hacerse durante el juicio, el Ministerio Público o cualquiera de las partes podrá requerir al juez que lo realice.</w:t>
            </w:r>
            <w:r w:rsidRPr="001B7F27">
              <w:rPr>
                <w:rFonts w:ascii="Arial" w:eastAsia="Times New Roman" w:hAnsi="Arial" w:cs="Arial"/>
                <w:color w:val="003399"/>
                <w:sz w:val="17"/>
                <w:szCs w:val="17"/>
                <w:lang w:eastAsia="es-AR"/>
              </w:rPr>
              <w:br/>
              <w:t>Si el juez rechaza el requerimiento, se podrá acudir direc</w:t>
            </w:r>
            <w:r w:rsidRPr="001B7F27">
              <w:rPr>
                <w:rFonts w:ascii="Arial" w:eastAsia="Times New Roman" w:hAnsi="Arial" w:cs="Arial"/>
                <w:color w:val="003399"/>
                <w:sz w:val="17"/>
                <w:szCs w:val="17"/>
                <w:lang w:eastAsia="es-AR"/>
              </w:rPr>
              <w:softHyphen/>
              <w:t>tamente al tribunal de apelación, que deberá resolver sin más trámite y de inmediato, ordenando la realización del acto, si lo considera admisible.</w:t>
            </w:r>
            <w:r w:rsidRPr="001B7F27">
              <w:rPr>
                <w:rFonts w:ascii="Arial" w:eastAsia="Times New Roman" w:hAnsi="Arial" w:cs="Arial"/>
                <w:color w:val="003399"/>
                <w:sz w:val="17"/>
                <w:szCs w:val="17"/>
                <w:lang w:eastAsia="es-AR"/>
              </w:rPr>
              <w:br/>
              <w:t>Podrá proponer otro perito, de conformidad con el art. 219 “Facultad de las Partes”, dentro del plazo que establezca el juez, en reemplazo del ya designado, o para que dictamine conjuntamente con él, cuando por las circunstancias particulares del caso, resulte conveniente su participación, por su experiencia o idoneidad especial, pudiendo, asimismo proponer fundadamente temas para la pericia y objetar los admitidos o propuestos por otra de las partes.</w:t>
            </w:r>
            <w:r w:rsidRPr="001B7F27">
              <w:rPr>
                <w:rFonts w:ascii="Arial" w:eastAsia="Times New Roman" w:hAnsi="Arial" w:cs="Arial"/>
                <w:color w:val="003399"/>
                <w:sz w:val="17"/>
                <w:szCs w:val="17"/>
                <w:lang w:eastAsia="es-AR"/>
              </w:rPr>
              <w:br/>
              <w:t>Podrán proponer, consultores técnicos, conforme lo señala el art. 111. “Consultores Técnicos” cuando considere necesario ser asistida por un consultor en una ciencia, arte o técnica. En tal caso, deberá proponerlo al juez, quien lo designará según las reglas aplicables a los peritos, en lo pertinente, sin que por ello asuman tal carácter.22</w:t>
            </w:r>
            <w:r w:rsidRPr="001B7F27">
              <w:rPr>
                <w:rFonts w:ascii="Arial" w:eastAsia="Times New Roman" w:hAnsi="Arial" w:cs="Arial"/>
                <w:color w:val="003399"/>
                <w:sz w:val="17"/>
                <w:szCs w:val="17"/>
                <w:lang w:eastAsia="es-AR"/>
              </w:rPr>
              <w:br/>
              <w:t>Podrá solicitar una autopsia, de conformidad con el art. 178 “Autopsia”, cuando el Ministerio Público no haya solicitado la realización de la autopsia, solicitando, en consecuencia, al juez que la ordene, conforme a las reglas de los actos irreproducibles.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 IX. Atribuciones del querellante en la marcha del proceso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Presentar la correspondiente querella ante el Juez Penal, de acuerdo a las formalidades establecidas en el art. 291 “Querella”. </w:t>
            </w:r>
            <w:r w:rsidRPr="001B7F27">
              <w:rPr>
                <w:rFonts w:ascii="Arial" w:eastAsia="Times New Roman" w:hAnsi="Arial" w:cs="Arial"/>
                <w:color w:val="003399"/>
                <w:sz w:val="17"/>
                <w:szCs w:val="17"/>
                <w:lang w:eastAsia="es-AR"/>
              </w:rPr>
              <w:br/>
              <w:t xml:space="preserve">Presentar la querella antes de que el Ministerio Público concluya la investigación. Si se presenta en la fecha prevista para la acusación, deberá cumplir con todos los requisitos previstos para la acusación fiscal, de acuerdo a lo señalado en el art. 293. “Oportunidad”. </w:t>
            </w:r>
            <w:r w:rsidRPr="001B7F27">
              <w:rPr>
                <w:rFonts w:ascii="Arial" w:eastAsia="Times New Roman" w:hAnsi="Arial" w:cs="Arial"/>
                <w:color w:val="003399"/>
                <w:sz w:val="17"/>
                <w:szCs w:val="17"/>
                <w:lang w:eastAsia="es-AR"/>
              </w:rPr>
              <w:br/>
              <w:t>Apelar la resolución que rechaza la querella, de acuerdo al art. 292. “Trámite y decisión”.</w:t>
            </w:r>
            <w:r w:rsidRPr="001B7F27">
              <w:rPr>
                <w:rFonts w:ascii="Arial" w:eastAsia="Times New Roman" w:hAnsi="Arial" w:cs="Arial"/>
                <w:color w:val="003399"/>
                <w:sz w:val="17"/>
                <w:szCs w:val="17"/>
                <w:lang w:eastAsia="es-AR"/>
              </w:rPr>
              <w:br/>
              <w:t>Impugnar, el mérito de la resolución judicial, cuando el Ministerio Público insista en su requerimiento solicitado, cuando ya medie oposición del juez, y éste resuelva conforme a lo peticionado, de acuerdo a las prescripciones del art. 314 “Oposición del Juez”.</w:t>
            </w:r>
            <w:r w:rsidRPr="001B7F27">
              <w:rPr>
                <w:rFonts w:ascii="Arial" w:eastAsia="Times New Roman" w:hAnsi="Arial" w:cs="Arial"/>
                <w:color w:val="003399"/>
                <w:sz w:val="17"/>
                <w:szCs w:val="17"/>
                <w:lang w:eastAsia="es-AR"/>
              </w:rPr>
              <w:br/>
              <w:t>Podrá solicitar al Juez Penal de Garantías medidas cautelares distintas a la del Ministerio Público, una vez presentada el correspondiente Pedido de Notificación del Acta de Imputación, y defenderlas en la audiencia respectiva, conforme a las disposiciones contenidas en el Libro Cuarto “Medidas Cautelares”.</w:t>
            </w:r>
            <w:r w:rsidRPr="001B7F27">
              <w:rPr>
                <w:rFonts w:ascii="Arial" w:eastAsia="Times New Roman" w:hAnsi="Arial" w:cs="Arial"/>
                <w:color w:val="003399"/>
                <w:sz w:val="17"/>
                <w:szCs w:val="17"/>
                <w:lang w:eastAsia="es-AR"/>
              </w:rPr>
              <w:br/>
              <w:t xml:space="preserve">Podrá solicitar la imposición de medidas cautelares de carácter real, conforme lo señala el art. 260 “Medidas cautelares reales”, como ser embargo preventivo en contra del procesado, para garantizar la reparación del daño. </w:t>
            </w:r>
            <w:r w:rsidRPr="001B7F27">
              <w:rPr>
                <w:rFonts w:ascii="Arial" w:eastAsia="Times New Roman" w:hAnsi="Arial" w:cs="Arial"/>
                <w:color w:val="003399"/>
                <w:sz w:val="17"/>
                <w:szCs w:val="17"/>
                <w:lang w:eastAsia="es-AR"/>
              </w:rPr>
              <w:br/>
              <w:t>Deberá presentar su acusación dentro del mismo plazo fijado para la acusación fiscal, cumpliendo con los requisitos previstos para ella, de acuerdo con el art. 348. “Querellante adhesivo”.</w:t>
            </w:r>
            <w:r w:rsidRPr="001B7F27">
              <w:rPr>
                <w:rFonts w:ascii="Arial" w:eastAsia="Times New Roman" w:hAnsi="Arial" w:cs="Arial"/>
                <w:color w:val="003399"/>
                <w:sz w:val="17"/>
                <w:szCs w:val="17"/>
                <w:lang w:eastAsia="es-AR"/>
              </w:rPr>
              <w:br/>
              <w:t xml:space="preserve">Podrá desistir o abandonar su querella en cualquier momento del procedimiento. En ese caso, tomará a su cargo las costas propias y quedará sujeto a la decisión general, de acuerdo a las prescripciones del Art. 294. “Desistimiento y Abandono”.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II. Desempeño del querellante en la Etapa Intermedia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Podrá examinar las actuaciones y las evidencias reunidas por el Ministerio Público, en el plazo común de cinco días, de acuerdo al art. 352. “Audiencia preliminar”, presentada la acusación o las otras solicitudes del Ministerio Público y una vez notificadas por el juez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Podrá proponer, de acuerdo con el art. 353. “Facultades y deberes de las partes”, por escrito, lo siguiente:</w:t>
            </w:r>
            <w:r w:rsidRPr="001B7F27">
              <w:rPr>
                <w:rFonts w:ascii="Arial" w:eastAsia="Times New Roman" w:hAnsi="Arial" w:cs="Arial"/>
                <w:color w:val="003399"/>
                <w:sz w:val="17"/>
                <w:szCs w:val="17"/>
                <w:lang w:eastAsia="es-AR"/>
              </w:rPr>
              <w:br/>
              <w:t>1) señalar los vicios formales o el incumplimiento de aspectos formales de la acusación;</w:t>
            </w:r>
            <w:r w:rsidRPr="001B7F27">
              <w:rPr>
                <w:rFonts w:ascii="Arial" w:eastAsia="Times New Roman" w:hAnsi="Arial" w:cs="Arial"/>
                <w:color w:val="003399"/>
                <w:sz w:val="17"/>
                <w:szCs w:val="17"/>
                <w:lang w:eastAsia="es-AR"/>
              </w:rPr>
              <w:br/>
              <w:t>2) objetar la solicitud de sobreseimiento, sobre la base de defec</w:t>
            </w:r>
            <w:r w:rsidRPr="001B7F27">
              <w:rPr>
                <w:rFonts w:ascii="Arial" w:eastAsia="Times New Roman" w:hAnsi="Arial" w:cs="Arial"/>
                <w:color w:val="003399"/>
                <w:sz w:val="17"/>
                <w:szCs w:val="17"/>
                <w:lang w:eastAsia="es-AR"/>
              </w:rPr>
              <w:softHyphen/>
              <w:t>tos formales o substanciales;</w:t>
            </w:r>
            <w:r w:rsidRPr="001B7F27">
              <w:rPr>
                <w:rFonts w:ascii="Arial" w:eastAsia="Times New Roman" w:hAnsi="Arial" w:cs="Arial"/>
                <w:color w:val="003399"/>
                <w:sz w:val="17"/>
                <w:szCs w:val="17"/>
                <w:lang w:eastAsia="es-AR"/>
              </w:rPr>
              <w:br/>
              <w:t>3) oponer las excepciones previs</w:t>
            </w:r>
            <w:r w:rsidRPr="001B7F27">
              <w:rPr>
                <w:rFonts w:ascii="Arial" w:eastAsia="Times New Roman" w:hAnsi="Arial" w:cs="Arial"/>
                <w:color w:val="003399"/>
                <w:sz w:val="17"/>
                <w:szCs w:val="17"/>
                <w:lang w:eastAsia="es-AR"/>
              </w:rPr>
              <w:softHyphen/>
              <w:t>tas en este Código, cuando no hayan sido plan</w:t>
            </w:r>
            <w:r w:rsidRPr="001B7F27">
              <w:rPr>
                <w:rFonts w:ascii="Arial" w:eastAsia="Times New Roman" w:hAnsi="Arial" w:cs="Arial"/>
                <w:color w:val="003399"/>
                <w:sz w:val="17"/>
                <w:szCs w:val="17"/>
                <w:lang w:eastAsia="es-AR"/>
              </w:rPr>
              <w:softHyphen/>
              <w:t>teadas con anterio</w:t>
            </w:r>
            <w:r w:rsidRPr="001B7F27">
              <w:rPr>
                <w:rFonts w:ascii="Arial" w:eastAsia="Times New Roman" w:hAnsi="Arial" w:cs="Arial"/>
                <w:color w:val="003399"/>
                <w:sz w:val="17"/>
                <w:szCs w:val="17"/>
                <w:lang w:eastAsia="es-AR"/>
              </w:rPr>
              <w:softHyphen/>
              <w:t>ridad o se funden en hechos nuevos;</w:t>
            </w:r>
            <w:r w:rsidRPr="001B7F27">
              <w:rPr>
                <w:rFonts w:ascii="Arial" w:eastAsia="Times New Roman" w:hAnsi="Arial" w:cs="Arial"/>
                <w:color w:val="003399"/>
                <w:sz w:val="17"/>
                <w:szCs w:val="17"/>
                <w:lang w:eastAsia="es-AR"/>
              </w:rPr>
              <w:br/>
              <w:t>4) solicitar el sobreseimiento definitivo o provisional;</w:t>
            </w:r>
            <w:r w:rsidRPr="001B7F27">
              <w:rPr>
                <w:rFonts w:ascii="Arial" w:eastAsia="Times New Roman" w:hAnsi="Arial" w:cs="Arial"/>
                <w:color w:val="003399"/>
                <w:sz w:val="17"/>
                <w:szCs w:val="17"/>
                <w:lang w:eastAsia="es-AR"/>
              </w:rPr>
              <w:br/>
              <w:t>5) proponer la aplicación de un criterio de oportunidad. El imputado sólo podrá proponerlo cuando alegue que se ha aplicado a casos análogos al suyo y siempre que demuestre esa circunstancia;</w:t>
            </w:r>
            <w:r w:rsidRPr="001B7F27">
              <w:rPr>
                <w:rFonts w:ascii="Arial" w:eastAsia="Times New Roman" w:hAnsi="Arial" w:cs="Arial"/>
                <w:color w:val="003399"/>
                <w:sz w:val="17"/>
                <w:szCs w:val="17"/>
                <w:lang w:eastAsia="es-AR"/>
              </w:rPr>
              <w:br/>
              <w:t>6) solicitar la suspensión condicional del procedimiento;</w:t>
            </w:r>
            <w:r w:rsidRPr="001B7F27">
              <w:rPr>
                <w:rFonts w:ascii="Arial" w:eastAsia="Times New Roman" w:hAnsi="Arial" w:cs="Arial"/>
                <w:color w:val="003399"/>
                <w:sz w:val="17"/>
                <w:szCs w:val="17"/>
                <w:lang w:eastAsia="es-AR"/>
              </w:rPr>
              <w:br/>
              <w:t>7) solicitar la imposición o revocación de una medida cautelar;</w:t>
            </w:r>
            <w:r w:rsidRPr="001B7F27">
              <w:rPr>
                <w:rFonts w:ascii="Arial" w:eastAsia="Times New Roman" w:hAnsi="Arial" w:cs="Arial"/>
                <w:color w:val="003399"/>
                <w:sz w:val="17"/>
                <w:szCs w:val="17"/>
                <w:lang w:eastAsia="es-AR"/>
              </w:rPr>
              <w:br/>
              <w:t>8) solicitar el anticipo jurisdiccional de prueba;</w:t>
            </w:r>
            <w:r w:rsidRPr="001B7F27">
              <w:rPr>
                <w:rFonts w:ascii="Arial" w:eastAsia="Times New Roman" w:hAnsi="Arial" w:cs="Arial"/>
                <w:color w:val="003399"/>
                <w:sz w:val="17"/>
                <w:szCs w:val="17"/>
                <w:lang w:eastAsia="es-AR"/>
              </w:rPr>
              <w:br/>
              <w:t>9) proponer la aplicación del procedimiento abreviado conforme a lo previsto en el Libro Segundo;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10) proponer la conciliación;</w:t>
            </w:r>
            <w:r w:rsidRPr="001B7F27">
              <w:rPr>
                <w:rFonts w:ascii="Arial" w:eastAsia="Times New Roman" w:hAnsi="Arial" w:cs="Arial"/>
                <w:color w:val="003399"/>
                <w:sz w:val="17"/>
                <w:szCs w:val="17"/>
                <w:lang w:eastAsia="es-AR"/>
              </w:rPr>
              <w:br/>
              <w:t xml:space="preserve">11) plantear cualquier otra cuestión incidental que permita una mejor preparación del juicio;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Dentro del mismo plazo, el querellante deberá ofrecer los medios de prueba necesarios para resolver las cues</w:t>
            </w:r>
            <w:r w:rsidRPr="001B7F27">
              <w:rPr>
                <w:rFonts w:ascii="Arial" w:eastAsia="Times New Roman" w:hAnsi="Arial" w:cs="Arial"/>
                <w:color w:val="003399"/>
                <w:sz w:val="17"/>
                <w:szCs w:val="17"/>
                <w:lang w:eastAsia="es-AR"/>
              </w:rPr>
              <w:softHyphen/>
              <w:t>tiones propias de la audiencia preliminar.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Podrá formular sus pretensiones en el día de la audiencia señalada por el órgano jurisdiccional, conforme a lo prescripto en el art. 354. “Desarrollo”, en donde se dispondrá la producción de la prueba y se dará tiempo suficiente para que cada parte fundamente sus pretensiones.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III. Desempeño del querellante en el Juicio Oral y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Deberá concurrir en la audiencia para el juicio oral y público, por sí o por apoderado, o se ausenta de ella, bajo pena de tener por abandonada su querella, sin perjuicio de que pueda ser compelido a comparecer como testigo, de conformidad con el art. 366 “Inmediatez”.</w:t>
            </w:r>
            <w:r w:rsidRPr="001B7F27">
              <w:rPr>
                <w:rFonts w:ascii="Arial" w:eastAsia="Times New Roman" w:hAnsi="Arial" w:cs="Arial"/>
                <w:color w:val="003399"/>
                <w:sz w:val="17"/>
                <w:szCs w:val="17"/>
                <w:lang w:eastAsia="es-AR"/>
              </w:rPr>
              <w:br/>
              <w:t>Deberá explicar la acusación, a continuación del fiscal del crimen, una vez que el presidente ordenare la lectura del auto de apertura a juicio, en el inicio de la audiencia, de acuerdo al art. 382 “Apertura”.</w:t>
            </w:r>
            <w:r w:rsidRPr="001B7F27">
              <w:rPr>
                <w:rFonts w:ascii="Arial" w:eastAsia="Times New Roman" w:hAnsi="Arial" w:cs="Arial"/>
                <w:color w:val="003399"/>
                <w:sz w:val="17"/>
                <w:szCs w:val="17"/>
                <w:lang w:eastAsia="es-AR"/>
              </w:rPr>
              <w:br/>
              <w:t xml:space="preserve">Podrá interrogar al imputado, asimismo formularle preguntas destinadas a aclarar sus manifestaciones, de conformidad con el art. 383. “Declaración del imputado y presentación de la defensa”. </w:t>
            </w:r>
            <w:r w:rsidRPr="001B7F27">
              <w:rPr>
                <w:rFonts w:ascii="Arial" w:eastAsia="Times New Roman" w:hAnsi="Arial" w:cs="Arial"/>
                <w:color w:val="003399"/>
                <w:sz w:val="17"/>
                <w:szCs w:val="17"/>
                <w:lang w:eastAsia="es-AR"/>
              </w:rPr>
              <w:br/>
              <w:t>Podrá solicitar en la audiencia del juicio y en las demás audiencias orales, conforme señala el art. 117. “Audiencia”, al Tribunal o al Juez, en su caso, el nombramiento de un intérprete común, si alguna de las partes, los jueces, los declarantes o el público no comprenden con facilidad alguno de los idiomas oficiales, el juez o tribunal nombrará un intérprete común. Si no es posible nombrar un intérprete común sin retardar el procedimiento, se nombrará de entre los presentes a un intérprete de buena fe, para que facilite la comunicación entre todos los participantes de la audiencia o del juicio.</w:t>
            </w:r>
            <w:r w:rsidRPr="001B7F27">
              <w:rPr>
                <w:rFonts w:ascii="Arial" w:eastAsia="Times New Roman" w:hAnsi="Arial" w:cs="Arial"/>
                <w:color w:val="003399"/>
                <w:sz w:val="17"/>
                <w:szCs w:val="17"/>
                <w:lang w:eastAsia="es-AR"/>
              </w:rPr>
              <w:br/>
              <w:t>Podrá, solicitar, al juez o tribunal, conforme al art. 119 “Interrogatorios”, las medidas necesarias para que los interrogados sean asistidos por un intérprete o traductor, o se expresen por escrito o de la forma que facilite la realización de la diligencia, cuando se trate de personas que no puedan expresarse fácilmente en los idiomas oficiales o que adolezcan de un impedimento manifiesto para expresarse.</w:t>
            </w:r>
            <w:r w:rsidRPr="001B7F27">
              <w:rPr>
                <w:rFonts w:ascii="Arial" w:eastAsia="Times New Roman" w:hAnsi="Arial" w:cs="Arial"/>
                <w:color w:val="003399"/>
                <w:sz w:val="17"/>
                <w:szCs w:val="17"/>
                <w:lang w:eastAsia="es-AR"/>
              </w:rPr>
              <w:br/>
              <w:t>Podrá ampliar la acusación durante el juicio mediante la inclusión de un hecho nuevo o una nueva circunstancia que no haya sido mencionada en la acusación o en el auto de apertura a juicio, que modifica la calificación legal o la sanción del mismo hecho o integra un hecho punible continuado, de art. 386. “Ampliación de la acusación”.</w:t>
            </w:r>
            <w:r w:rsidRPr="001B7F27">
              <w:rPr>
                <w:rFonts w:ascii="Arial" w:eastAsia="Times New Roman" w:hAnsi="Arial" w:cs="Arial"/>
                <w:color w:val="003399"/>
                <w:sz w:val="17"/>
                <w:szCs w:val="17"/>
                <w:lang w:eastAsia="es-AR"/>
              </w:rPr>
              <w:br/>
              <w:t>Podrá solicitar al tribunal la suspensión de la audiencia para el juicio oral y público por un plazo máximo de diez días, para ampliar la acusación, siempre que, por las características del caso, no se pueda continuar inmediatamente, de conformidad con el art. 373 “Continuidad y casos de suspensión”.</w:t>
            </w:r>
            <w:r w:rsidRPr="001B7F27">
              <w:rPr>
                <w:rFonts w:ascii="Arial" w:eastAsia="Times New Roman" w:hAnsi="Arial" w:cs="Arial"/>
                <w:color w:val="003399"/>
                <w:sz w:val="17"/>
                <w:szCs w:val="17"/>
                <w:lang w:eastAsia="es-AR"/>
              </w:rPr>
              <w:br/>
              <w:t xml:space="preserve">Expresará sus alegatos finales, una vez expuesta la del agente fiscal, terminada la recepción de las pruebas, pudiendo repartir sus tareas con el fiscal, o con el querellante, cuando hubiere dos o más de ellos, repartiendo sus tareas para evitar dilaciones, pudiendo asimismo replicar, debiendo solicitar la pena que estiman procedente, cuando requieran una condena, de conformidad al art. 395. “Discusión final y cierre del debate”. </w:t>
            </w:r>
            <w:r w:rsidRPr="001B7F27">
              <w:rPr>
                <w:rFonts w:ascii="Arial" w:eastAsia="Times New Roman" w:hAnsi="Arial" w:cs="Arial"/>
                <w:color w:val="003399"/>
                <w:sz w:val="17"/>
                <w:szCs w:val="17"/>
                <w:lang w:eastAsia="es-AR"/>
              </w:rPr>
              <w:br/>
              <w:t>Podrá interponérsele total o parcialmente las costas, cuando haya participado en el procedimiento por medio de una acusación falsa o temeraria. La víctima que denunció el hecho soportará sus propios gastos, salvo que los deba soportar el condenado, de acuerdo a lo señalado en el art. 268. “Víctima y querellante adhesivo.”</w:t>
            </w:r>
            <w:r w:rsidRPr="001B7F27">
              <w:rPr>
                <w:rFonts w:ascii="Arial" w:eastAsia="Times New Roman" w:hAnsi="Arial" w:cs="Arial"/>
                <w:color w:val="003399"/>
                <w:sz w:val="17"/>
                <w:szCs w:val="17"/>
                <w:lang w:eastAsia="es-AR"/>
              </w:rPr>
              <w:br/>
              <w:t>Será susceptible de contraer responsabilidad personal cuando falsee los hechos o litigue con temeridad, de acuerdo con el art. 295 “Responsabilidad”.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XX.IV. Facultades del querellante en los procedimientos especiales.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Podrá presentar, en forma conjunta o por separado, con el Ministerio Público y el Imputado, un escrito solicitando el procedimiento abreviado, acreditando los preceptos legales aplicables y sus pretensiones fundadas, además de los requisitos previstos en el artículo 420 “Admisibilidad”, de conformidad con el art. 421 “Trámite”.</w:t>
            </w:r>
            <w:r w:rsidRPr="001B7F27">
              <w:rPr>
                <w:rFonts w:ascii="Arial" w:eastAsia="Times New Roman" w:hAnsi="Arial" w:cs="Arial"/>
                <w:color w:val="003399"/>
                <w:sz w:val="17"/>
                <w:szCs w:val="17"/>
                <w:lang w:eastAsia="es-AR"/>
              </w:rPr>
              <w:br/>
              <w:t>Podrá requerir la extradición de un imputado el cual será decretada por el juez penal, conforme a las reglas previstas en el art. 147 “Extradición” y será tramitada por la vía diplomática, de acuerdo al art. 148. “Extradición activa”.</w:t>
            </w:r>
            <w:r w:rsidRPr="001B7F27">
              <w:rPr>
                <w:rFonts w:ascii="Arial" w:eastAsia="Times New Roman" w:hAnsi="Arial" w:cs="Arial"/>
                <w:color w:val="003399"/>
                <w:sz w:val="17"/>
                <w:szCs w:val="17"/>
                <w:lang w:eastAsia="es-AR"/>
              </w:rPr>
              <w:br/>
              <w:t>Podrá presentar un pedido de procedimiento para la aplicación de medidas de mejoramiento, cuando, en razón de particulares circunstancias personales del procesado, estimen que sólo corresponde aplicar una medida, solicitarán este procedimiento, en la forma y las condiciones previstas para la acusación, indicando también los antecedentes y circunstancias que motivan el pedido, de conformidad con el art. 428 “Procedimiento”.</w:t>
            </w:r>
            <w:r w:rsidRPr="001B7F27">
              <w:rPr>
                <w:rFonts w:ascii="Arial" w:eastAsia="Times New Roman" w:hAnsi="Arial" w:cs="Arial"/>
                <w:color w:val="003399"/>
                <w:sz w:val="17"/>
                <w:szCs w:val="17"/>
                <w:lang w:eastAsia="es-AR"/>
              </w:rPr>
              <w:br/>
              <w:t>Podrá solicitar al Juez quien dictó la sentencia, el procedimiento para la reparación del daño o la indemnización correspondiente, dictada la sentencia de condena o la resolución que imponga una medida de seguridad por inimputabilidad, podrá solicitar al juez que ordene la reparación del daño causado o la indemnización co</w:t>
            </w:r>
            <w:r w:rsidRPr="001B7F27">
              <w:rPr>
                <w:rFonts w:ascii="Arial" w:eastAsia="Times New Roman" w:hAnsi="Arial" w:cs="Arial"/>
                <w:color w:val="003399"/>
                <w:sz w:val="17"/>
                <w:szCs w:val="17"/>
                <w:lang w:eastAsia="es-AR"/>
              </w:rPr>
              <w:softHyphen/>
              <w:t>rrespondiente, de conformidad con el art. 439 “Procedencia”.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V. En materia de recursos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Podrá recurrir las resoluciones , conforme señala el art. 449 “Reglas generales”, siempre que el derecho le sea expresamente acordado. Cuando la ley no distinga entre las diversas partes, el recurso podrá ser interpuesto por cualquiera de ellas.</w:t>
            </w:r>
            <w:r w:rsidRPr="001B7F27">
              <w:rPr>
                <w:rFonts w:ascii="Arial" w:eastAsia="Times New Roman" w:hAnsi="Arial" w:cs="Arial"/>
                <w:color w:val="003399"/>
                <w:sz w:val="17"/>
                <w:szCs w:val="17"/>
                <w:lang w:eastAsia="es-AR"/>
              </w:rPr>
              <w:br/>
              <w:t>Podrá adherirse al recurso, conforme señala el art. 451. “Adhesión”, dentro del período de emplazamiento, al recurso concedido a cualquiera de las partes, siempre que exprese los motivos en que se funda.</w:t>
            </w:r>
            <w:r w:rsidRPr="001B7F27">
              <w:rPr>
                <w:rFonts w:ascii="Arial" w:eastAsia="Times New Roman" w:hAnsi="Arial" w:cs="Arial"/>
                <w:color w:val="003399"/>
                <w:sz w:val="17"/>
                <w:szCs w:val="17"/>
                <w:lang w:eastAsia="es-AR"/>
              </w:rPr>
              <w:br/>
              <w:t>Podrá plantear durante las audiencias, conforme señala el art. 452. “Recurso durante las audiencias” el recurso de reposición, único mecanismo admisible, el que será resuelto de inmediato, sin suspenderlas.</w:t>
            </w:r>
            <w:r w:rsidRPr="001B7F27">
              <w:rPr>
                <w:rFonts w:ascii="Arial" w:eastAsia="Times New Roman" w:hAnsi="Arial" w:cs="Arial"/>
                <w:color w:val="003399"/>
                <w:sz w:val="17"/>
                <w:szCs w:val="17"/>
                <w:lang w:eastAsia="es-AR"/>
              </w:rPr>
              <w:br/>
              <w:t>La interposición del recurso significará también reserva de recurrir en apelación o en casación, si el vicio señalado no es saneado y la resolución provoca un agravio al recurrente.</w:t>
            </w:r>
            <w:r w:rsidRPr="001B7F27">
              <w:rPr>
                <w:rFonts w:ascii="Arial" w:eastAsia="Times New Roman" w:hAnsi="Arial" w:cs="Arial"/>
                <w:color w:val="003399"/>
                <w:sz w:val="17"/>
                <w:szCs w:val="17"/>
                <w:lang w:eastAsia="es-AR"/>
              </w:rPr>
              <w:br/>
              <w:t>Podrá desistir del recurso deducido, conforme apunta el art 455. “Desistimiento”, por ellas o sus defensores, sin perjudicar a los demás recurrentes, pero cargarán con las costas. No obstante, el desistimiento de un recurso impedirá el progreso de los que se han adherido a él.</w:t>
            </w:r>
            <w:r w:rsidRPr="001B7F27">
              <w:rPr>
                <w:rFonts w:ascii="Arial" w:eastAsia="Times New Roman" w:hAnsi="Arial" w:cs="Arial"/>
                <w:color w:val="003399"/>
                <w:sz w:val="17"/>
                <w:szCs w:val="17"/>
                <w:lang w:eastAsia="es-AR"/>
              </w:rPr>
              <w:br/>
              <w:t>Podrá apelar las resoluciones, conforme señala el art. 461 “Resoluciones apelables”, de acuerdo a la reglas del recurso de apelación procederá contra las resoluciones, establecidas en el artículo mencionado, entre ellos, el que desestime la querella, o la que rechace la querella.</w:t>
            </w:r>
            <w:r w:rsidRPr="001B7F27">
              <w:rPr>
                <w:rFonts w:ascii="Arial" w:eastAsia="Times New Roman" w:hAnsi="Arial" w:cs="Arial"/>
                <w:color w:val="003399"/>
                <w:sz w:val="17"/>
                <w:szCs w:val="17"/>
                <w:lang w:eastAsia="es-AR"/>
              </w:rPr>
              <w:br/>
              <w:t>Deberá interponer el recurso de apelación general, conforme señala el art. 462. “Interposición”, debidamente fundado, ante el mismo juez que dictó la resolución, dentro del término de cinco días.</w:t>
            </w:r>
            <w:r w:rsidRPr="001B7F27">
              <w:rPr>
                <w:rFonts w:ascii="Arial" w:eastAsia="Times New Roman" w:hAnsi="Arial" w:cs="Arial"/>
                <w:color w:val="003399"/>
                <w:sz w:val="17"/>
                <w:szCs w:val="17"/>
                <w:lang w:eastAsia="es-AR"/>
              </w:rPr>
              <w:br/>
              <w:t>Cuando el tribunal de apelaciones tenga su sede en un lugar distinto al de radicación del procedimiento, los recurrentes fijarán, en el escrito de interposición, nuevo domicilio procesal.</w:t>
            </w:r>
            <w:r w:rsidRPr="001B7F27">
              <w:rPr>
                <w:rFonts w:ascii="Arial" w:eastAsia="Times New Roman" w:hAnsi="Arial" w:cs="Arial"/>
                <w:color w:val="003399"/>
                <w:sz w:val="17"/>
                <w:szCs w:val="17"/>
                <w:lang w:eastAsia="es-AR"/>
              </w:rPr>
              <w:br/>
              <w:t xml:space="preserve">Cuando el recurrente intente producir prueba en la segunda instancia, la ofrecerá junto con el escrito de interposición, señalando concretamente el hecho que pretende probar. </w:t>
            </w:r>
            <w:r w:rsidRPr="001B7F27">
              <w:rPr>
                <w:rFonts w:ascii="Arial" w:eastAsia="Times New Roman" w:hAnsi="Arial" w:cs="Arial"/>
                <w:color w:val="003399"/>
                <w:sz w:val="17"/>
                <w:szCs w:val="17"/>
                <w:lang w:eastAsia="es-AR"/>
              </w:rPr>
              <w:br/>
              <w:t>Podrá deducir recurso de apelación especial, de acuerdo a lo señalado en el art. 466 “Objeto”, contra las sentencias definitivas dictadas por el juez o el tribunal de sentencia en el juicio oral. En los casos y en el modo señalados en el art. 467 “Motivos”.</w:t>
            </w:r>
            <w:r w:rsidRPr="001B7F27">
              <w:rPr>
                <w:rFonts w:ascii="Arial" w:eastAsia="Times New Roman" w:hAnsi="Arial" w:cs="Arial"/>
                <w:color w:val="003399"/>
                <w:sz w:val="17"/>
                <w:szCs w:val="17"/>
                <w:lang w:eastAsia="es-AR"/>
              </w:rPr>
              <w:br/>
              <w:t>Podrá interponer el recurso de apelación se, conforme señala el art. 468 “Interposición”, ante el juez o tribunal que dictó la sentencia, en el término de diez días luego de notificada, y por escrito fundado, en el que se expresará, concreta y separadamente, cada motivo con sus fundamentos y la solución que se pretende, debiendo solicitar expresamente, en el supuesto en que estimen necesaria una audiencia pública para la fundamentación complemen</w:t>
            </w:r>
            <w:r w:rsidRPr="001B7F27">
              <w:rPr>
                <w:rFonts w:ascii="Arial" w:eastAsia="Times New Roman" w:hAnsi="Arial" w:cs="Arial"/>
                <w:color w:val="003399"/>
                <w:sz w:val="17"/>
                <w:szCs w:val="17"/>
                <w:lang w:eastAsia="es-AR"/>
              </w:rPr>
              <w:softHyphen/>
              <w:t>taria y discusión del recurso deberán solicitarlo expresamente.</w:t>
            </w:r>
            <w:r w:rsidRPr="001B7F27">
              <w:rPr>
                <w:rFonts w:ascii="Arial" w:eastAsia="Times New Roman" w:hAnsi="Arial" w:cs="Arial"/>
                <w:color w:val="003399"/>
                <w:sz w:val="17"/>
                <w:szCs w:val="17"/>
                <w:lang w:eastAsia="es-AR"/>
              </w:rPr>
              <w:br/>
              <w:t xml:space="preserve">Cuando el procedimiento se haya iniciado en una circunscripción judicial distinta al de la sede del tribunal de apelaciones, el recurrente, en el escrito de interposición, y los demás al contestar el recurso o al adherirse a él, fijarán nuevo domicilio procesal. </w:t>
            </w:r>
            <w:r w:rsidRPr="001B7F27">
              <w:rPr>
                <w:rFonts w:ascii="Arial" w:eastAsia="Times New Roman" w:hAnsi="Arial" w:cs="Arial"/>
                <w:color w:val="003399"/>
                <w:sz w:val="17"/>
                <w:szCs w:val="17"/>
                <w:lang w:eastAsia="es-AR"/>
              </w:rPr>
              <w:br/>
              <w:t>Podrá deducir, conforme señala el art. 477 “Objeto”, recurso extraordinario de casación contra las sentencias definitivas del tribunal de apelaciones o contra aquéllas decisiones de ese tribunal que pongan fin al procedimiento, extingan la acción o la pena, o denieguen la extinción, conmutación o suspensión de la pena, en los casos señalados en el art.478. “Motivos”</w:t>
            </w:r>
            <w:r w:rsidRPr="001B7F27">
              <w:rPr>
                <w:rFonts w:ascii="Arial" w:eastAsia="Times New Roman" w:hAnsi="Arial" w:cs="Arial"/>
                <w:color w:val="003399"/>
                <w:sz w:val="17"/>
                <w:szCs w:val="17"/>
                <w:lang w:eastAsia="es-AR"/>
              </w:rPr>
              <w:br/>
              <w:t>Podrá plantear, según señala el art. 479 “Casación directa”, la casación directa, cuando una sentencia de primera instancia pueda ser impugnada por algunos de los motivos establecidos en el código, se podrá interponer directamente el recurso extraordinario de casación.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XX. VI.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manera de conclusión, resta observar de que aún quedan muchos puntos pendientes de discusión y de estudio, en cuanto al desempeño que le toca al Querellante Adhesivo en nuestro actual proceso penal. Esperando que este sencillo artículo sea el comienzo de una discusión en donde puedan surgir propuestas a fin de ampliar las perspectivas de esta figura tan importante en la tradición jurídica de nuestro país.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 de textos consultados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ODERIGO, Mario A. Derecho Procesal Penal, Tomo II. Edit. IDEAS, Buenos Aires- Argentina, Año 1.952.</w:t>
            </w:r>
            <w:r w:rsidRPr="001B7F27">
              <w:rPr>
                <w:rFonts w:ascii="Arial" w:eastAsia="Times New Roman" w:hAnsi="Arial" w:cs="Arial"/>
                <w:color w:val="003399"/>
                <w:sz w:val="17"/>
                <w:szCs w:val="17"/>
                <w:lang w:eastAsia="es-AR"/>
              </w:rPr>
              <w:br/>
              <w:t>CAFFERATA NORES, CORVALAN, DE OLAZÁBAL Y OTROS, “Debate sobre el Proyecto de Código Procesal Penal de Santa Fe Texto definitivo”. N° 24. Colección Jurídica y Social. Secretaría de Postgrado y Servicios a Terceros. Facultad de Ciencias Jurídicas y Sociales. Universidad Nacional del Litoral. Año 1993.</w:t>
            </w:r>
            <w:r w:rsidRPr="001B7F27">
              <w:rPr>
                <w:rFonts w:ascii="Arial" w:eastAsia="Times New Roman" w:hAnsi="Arial" w:cs="Arial"/>
                <w:color w:val="003399"/>
                <w:sz w:val="17"/>
                <w:szCs w:val="17"/>
                <w:lang w:eastAsia="es-AR"/>
              </w:rPr>
              <w:br/>
              <w:t>CENTURIÓN ORTIZ, Rodolfo Fabián, “Introducción al Derecho Procesal Penal Paraguayo”, Intercontinental Editora. Asunción- Paraguay. Año 2001.</w:t>
            </w:r>
            <w:r w:rsidRPr="001B7F27">
              <w:rPr>
                <w:rFonts w:ascii="Arial" w:eastAsia="Times New Roman" w:hAnsi="Arial" w:cs="Arial"/>
                <w:color w:val="003399"/>
                <w:sz w:val="17"/>
                <w:szCs w:val="17"/>
                <w:lang w:eastAsia="es-AR"/>
              </w:rPr>
              <w:br/>
              <w:t>CLARIA OLMEDO, Jorge A. “Tratado de Derecho Procesal Penal . Tomo II. Sujetos Procesales Penales.” Edit. EDIAR S.A. EDITORES. Buenos Aires- Argentina.</w:t>
            </w:r>
            <w:r w:rsidRPr="001B7F27">
              <w:rPr>
                <w:rFonts w:ascii="Arial" w:eastAsia="Times New Roman" w:hAnsi="Arial" w:cs="Arial"/>
                <w:color w:val="003399"/>
                <w:sz w:val="17"/>
                <w:szCs w:val="17"/>
                <w:lang w:eastAsia="es-AR"/>
              </w:rPr>
              <w:br/>
              <w:t>ELBERT, Carlos Alberto, “Manual básico de Criminología”. Edit. Eudeba. Buenos Aires. Argentina. Año 1998.</w:t>
            </w:r>
            <w:r w:rsidRPr="001B7F27">
              <w:rPr>
                <w:rFonts w:ascii="Arial" w:eastAsia="Times New Roman" w:hAnsi="Arial" w:cs="Arial"/>
                <w:color w:val="003399"/>
                <w:sz w:val="17"/>
                <w:szCs w:val="17"/>
                <w:lang w:eastAsia="es-AR"/>
              </w:rPr>
              <w:br/>
              <w:t>FRIAS, Jorge H., “Derecho Procesal. (Materia Criminal)”. Tomo II. Valerio Abeledo, Editor- Librería Jurídica. Buenos Aires- Argentina. Año. 1921.</w:t>
            </w:r>
            <w:r w:rsidRPr="001B7F27">
              <w:rPr>
                <w:rFonts w:ascii="Arial" w:eastAsia="Times New Roman" w:hAnsi="Arial" w:cs="Arial"/>
                <w:color w:val="003399"/>
                <w:sz w:val="17"/>
                <w:szCs w:val="17"/>
                <w:lang w:eastAsia="es-AR"/>
              </w:rPr>
              <w:br/>
              <w:t>KOHN, Marcos A. “Manual para Jueces Penales”. Código Procesal Penal. Publicación realizada bajo los auspicios de la National Center for State Courts “Proyecto de Fortalecimiento del Estado de Derecho. Año 2000. Asunción- Paraguay.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ODERIGO, Mario A. Derecho Procesal Penal, Tomo II. Edit. IDEAS, Buenos Aires- Argentina, Año 1952.</w:t>
            </w:r>
            <w:r w:rsidRPr="001B7F27">
              <w:rPr>
                <w:rFonts w:ascii="Arial" w:eastAsia="Times New Roman" w:hAnsi="Arial" w:cs="Arial"/>
                <w:color w:val="003399"/>
                <w:sz w:val="17"/>
                <w:szCs w:val="17"/>
                <w:lang w:eastAsia="es-AR"/>
              </w:rPr>
              <w:br/>
              <w:t>RIQUELME, Víctor, Instituciones del Derecho Procesal Penal. Tomo I. Asunción- Paraguay.</w:t>
            </w:r>
            <w:r w:rsidRPr="001B7F27">
              <w:rPr>
                <w:rFonts w:ascii="Arial" w:eastAsia="Times New Roman" w:hAnsi="Arial" w:cs="Arial"/>
                <w:color w:val="003399"/>
                <w:sz w:val="17"/>
                <w:szCs w:val="17"/>
                <w:lang w:eastAsia="es-AR"/>
              </w:rPr>
              <w:br/>
              <w:t xml:space="preserve">ROXIN, Claus. Derecho Procesal Penal. Buenos Aires- Argentina. Año 2000. Ediciones del Puerto S.R.L. </w:t>
            </w:r>
            <w:r w:rsidRPr="001B7F27">
              <w:rPr>
                <w:rFonts w:ascii="Arial" w:eastAsia="Times New Roman" w:hAnsi="Arial" w:cs="Arial"/>
                <w:color w:val="003399"/>
                <w:sz w:val="17"/>
                <w:szCs w:val="17"/>
                <w:lang w:eastAsia="es-AR"/>
              </w:rPr>
              <w:br/>
              <w:t>ZAFFARONI, Eugenio R. SISTEMAS PENALES Y DERECHOS HUMANOS EN AMERICA LATINA. ( Informe Final) Documento Final del Programa de Investigación desarrollado por el Instituto Interamericano de Derechos Humanos ( 1982- 1986) Edit. De Palma. Buenos Aires. Argentina. Año 1986.</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0"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19" w:name="19"/>
            <w:bookmarkEnd w:id="19"/>
            <w:r w:rsidRPr="001B7F27">
              <w:rPr>
                <w:rFonts w:ascii="Arial" w:eastAsia="Times New Roman" w:hAnsi="Arial" w:cs="Arial"/>
                <w:b/>
                <w:bCs/>
                <w:color w:val="009933"/>
                <w:sz w:val="20"/>
                <w:szCs w:val="20"/>
                <w:lang w:eastAsia="es-AR"/>
              </w:rPr>
              <w:t>"El Recurso Extraordinario de Casación"</w:t>
            </w:r>
            <w:r w:rsidRPr="001B7F27">
              <w:rPr>
                <w:rFonts w:ascii="Arial" w:eastAsia="Times New Roman" w:hAnsi="Arial" w:cs="Arial"/>
                <w:color w:val="003399"/>
                <w:sz w:val="17"/>
                <w:szCs w:val="17"/>
                <w:lang w:eastAsia="es-AR"/>
              </w:rPr>
              <w:br/>
              <w:t>Oscar Germán Latorre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procesal penal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1"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recurso extraordinario de casación es un instituto de reciente implementación en nuestro sistema recursivo, por lo que su utilización por los operadores del sistema aún requiere de ciertas correcciones para que el mismo cumpla con el fin perseguido.-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razón de ello, se debe aseverar que el recurso de casación no es una tercera instancia, la Corte Suprema de Justicia, constituida en “Tribunal de Casación” está doblemente limitada, tanto por los agravios expuestos por el recurrente así como por las causales taxativamente previstas en la ley procesal.-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presente trabajo no pretende constituirse en una guía práctica del Recurso Extraordinario de Casación, tan solo ofrecer unas nociones generales respecto al mismo, así como delinear sus antecedentes inmediatos, definir sus fines y establecer los alcances de los presupuestos formales exigidos para su procedencia.-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 ANTECEDENTES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larga historia del recurso de casación se remonta al derecho romano, pasando con posterioridad por los derechos germano, italiano, alemán y francés. A fin de resumir sus antecedentes históricos, es acertado mencionar sus orígenes en Francia, pasada la revolución de 1789.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Éste recurso tuvo su primera consagración legislativa en la ley francesa de noviembre de 1790, la misma, en su art. 1°, creó un Tribunal de Casación y en su art. 3° le atribuía el poder de anulación sobre “toda sentencia que contuviera una violación expresa del texto de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allí que el vocablo casación proviene del francés “casser”, que significa romper, quebrar, anular. El tribunal de casación, originariamente se concibió como un órgano de control constitucional, para vigilar la actividad de los jueces, asegurando la unidad de jurisprudencia.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propulsores de tal concepción sostenían que la ley en vano sería uniforme si fuera interpretada de modo diferente. El recurso de casación surgió como expresión de una profunda desconfianza de los legisladores revolucionarios respecto de los jueces, considerados, en ese entonces, como el peligro más grave para el mantenimiento de las leyes.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partir del año 1803 el tribunal tomó el nombre de Cour de Cassation, adquiriendo definitivamente su naturaleza </w:t>
            </w:r>
            <w:r w:rsidRPr="001B7F27">
              <w:rPr>
                <w:rFonts w:ascii="Arial" w:eastAsia="Times New Roman" w:hAnsi="Arial" w:cs="Arial"/>
                <w:color w:val="003399"/>
                <w:sz w:val="17"/>
                <w:szCs w:val="17"/>
                <w:lang w:eastAsia="es-AR"/>
              </w:rPr>
              <w:lastRenderedPageBreak/>
              <w:t>jurisdiccional, incorporándose al Poder Judicial del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 CONCEPTO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recurso extraordinario de casación es un instituto procesal de interés general y de orden público. Su objeto es contener que las resoluciones judiciales se basen en la estricta observancia de la ley, e impedir toda falsa aplicación de ésta o su errónea interpretación, en busca de la unificación de la jurisprudencia.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un medio de impugnación que se utiliza contra sentencias de segunda instancia o de tribunal de mérito (per saltum) que se consideren violatorias de la ley. En casación no pueden volverse a debatir los hechos que ya han sido debidamente juzgados por los órganos jurisdiccionales pertinentes: “No origina una tercera instancia”.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Simplemente, se trata de un recurso mediante el cual se confronta la sentencia con la ley, para concluir si aquella se ciñó a ésta y si tiene validez jurídica. En el recurso de casación se hace un examen jurídico de la sentencia en relación con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III) FINES PERSEGUIDOS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recurso de casación, como medio de impugnación extraordinario, tiene por fines primordiales la efectiva aplicación del derecho material y de las garantías debidas a las personas que intervienen en la actuación penal, la reparación de los agravios inferidos a las partes en la sentencia recurrida, y la unificación de la jurisprudencia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III. 1) FINES PÚBLICOS: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LA DEFENSA DE LA EFECTIVIDAD DEL DERECHO MATERIAL: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finalidad del recurso de casación, por una parte, consiste en asegurar la interpretación unitaria de la ley, sometiendo su interpretación al más alto tribunal de la jerarquía judicial, a la cual llega la causa con los hechos del proceso definitivamente fijados, para que solamente se juzgue la corrección jurídica con que han sido calificados y, por la otra, pretende preservar la observancia de las garantías constitucionales que hacen al debido proceso.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constituye en un recurso de singular importancia en tanto no sólo está llamado a reparar el agravio inferido por la sentencia a la ley y restablecer los derechos conculcados a las partes, sino de modo muy particular al tener como otra finalidad unificar la jurisprudencia nacional.</w:t>
            </w:r>
            <w:r w:rsidRPr="001B7F27">
              <w:rPr>
                <w:rFonts w:ascii="Arial" w:eastAsia="Times New Roman" w:hAnsi="Arial" w:cs="Arial"/>
                <w:color w:val="003399"/>
                <w:sz w:val="17"/>
                <w:szCs w:val="17"/>
                <w:lang w:eastAsia="es-AR"/>
              </w:rPr>
              <w:br/>
              <w:t>La efectividad del derecho material, como objetivo de protección judicial por parte de la Corte Suprema de Justicia, se une a la imperiosa necesidad de defender la estricta y exacta observancia de la ley por medio de un control jurisdiccional que vele por la recta interpretación y adecuada aplicación de la ley por los jueces en salvaguarda del principio de igualdad ante la ley (en casos análogos, análogas sentencias).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 DE LA UNIFICACIÓN DE LA JURISPRUDENCIA 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Piero Calamandrei, la Corte de Casación está instituida para mantener la exacta observancia de las leyes. Para la mejor interpretación de ésta doctrina, es necesario ante todo que nos preguntemos que significa técnicamente “observar la ley”; y no significa otra cosa que la ejecución de mandatos concretos nacidos de la ley, por parte de aquellos a quienes estos se dirigen. Así, la función del tribunal de casación se reduce a “velar porque las concretas voluntades jurídicas nacidas de la ley por coincidencia del hecho específico concreto con el hecho específico legal, sean ejecutados exactamente por sus destinatarios”.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unidad jurisprudencial logra igualmente que no se viole la ley, fenómeno que se presentaría al interpretarla en contra de su verdadero sentido, de manera que los dos aspectos dichos, se compenetran y combinan. El Estado requiere de un órgano que controle la observancia de la ley y su interpretación uniforme, a fin de que no se desnaturalice, so pretexto de buscarle sentido. De esta forma se enmienda el abuso y exceso de los tribunales en la aplicación legislativa, lo que constituye un agravio inferido a las normas que rigen la vida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III. 2) FINES PRIVADOS: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DE LA EFECTIVIDAD DE LAS GARANTÍAS DEBIDAS A LOS SUJETOS PROCESALES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finalidad tiene por objeto, el control de constitucionalidad sobre las sentencias de segunda instancia. La misma se liga íntimamente a las finalidades públicas.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recurso de casación penal, en su finalidad de efectividad de las garantías debidas a las personas que intervienen en cualquier causa penal, habrá de tener siempre en cuenta que el derecho penal, como sistema, posee unos límites político–jurídicos, que son precisamente las “reglas de juego” del ejercicio de derechos materiales y procesales, en </w:t>
            </w:r>
            <w:r w:rsidRPr="001B7F27">
              <w:rPr>
                <w:rFonts w:ascii="Arial" w:eastAsia="Times New Roman" w:hAnsi="Arial" w:cs="Arial"/>
                <w:color w:val="003399"/>
                <w:sz w:val="17"/>
                <w:szCs w:val="17"/>
                <w:lang w:eastAsia="es-AR"/>
              </w:rPr>
              <w:lastRenderedPageBreak/>
              <w:t>el que se involucran como un todo interconexo: principios constitucionales, que implican y derivan los principios rectores de la ley penal y los principios generales (rectores) del proceso; límites que siempre deben respetarse dentro de un ejercicio vocacional de civilidad y democracia.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Juan Fernández Carasquilla, “un sistema penal que no se inspire en valoraciones materiales infranqueables sobre la dignidad del hombre y la tutela de sus derechos fundamentales e internacionales, puede ser el instrumento de la tiranía o del autoritarismo, pero no merece el nombre de derecho penal en el sentido tradicional que a esta expresión se asigna desde su fundación por la filosofía iluminista y libertaria en que se inspiraron las modernas revoluciones francesa, inglesa y norteamericana, que sin duda hace parte del constitucionalismo del que hoy no es posible prescindir”.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DE LA REPARACIÓN DE LOS AGRAVIOS INFERIDOS A LAS PARTES POR LA SENTENCIA RECURRIDA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que el recurso cumpla con este fin, el recurrente siempre habrá de puntualizar de manera precisa la violación de la ley, que derivó en el daño particular, además deberá indicar al máximo tribunal la vía adecuada para la reparación efectiva del agravio.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ese efecto, el casacionista establece en la interposición, los límites del análisis que el tribunal de casación deberá seguir; debiendo ser acertado al indicar la carga probatoria para destruir con la debida argumentación la doble presunción de la que goza la sentencia: de acierto y de legalidad (legitimidad).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Sobre los límites de lo impugnado, en base a la existencia de la violación de la ley (prueba de la equivocación del magistrado) y de la corrección debida a cargo del juzgador, se podrá llegar al efecto-fin de la reparación de los agravios inferidos a las partes por la sentencia recurrida.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escrito del recurso debe ser autosuficiente, debe incluir una relación clara de los hechos y cómo fueron fijados en la sentencia recurrida, expresando los motivos de la casación con precisa indicación de los preceptos legales que se consideran violados o inobservados o erróneamente aplicados mencionándose las normas excluidas o erróneamente invocadas y explicando finalmente cómo la violación, inobservancia o aplicación errada incide en el resultado de la causa (cómo se genera el perjuicio). También debe manifestarse la aplicación legal que se pretende, fundamentando la solución jurídica que corresponde adoptar (cómo se corrige el perjuicio), expresando la petición en términos claros y concretos 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síntesis, los agravios deben expresarse de modo tal, que por su sola lectura sean aprehensibles sin necesidad de acudir a otras constancias para integrarlo.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IV) LOS MOTIVOS DE LA CASACIÓN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motivos atendibles por el recurso extraordinario de casación pueden ser clasificados en: vicios de juicio (errores in iudicando) o vicios de actividad (errores in procedendo).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ambos casos existe una violación de la ley, como genérica desobediencia al mandato del legislador; pero esa violación se refiere en unos casos a la ley que regula el fondo del asunto (ley sustantiva) y en otros a la ley que regula la actividad del juez y de las partes en procura de la sentencia (ley procesal).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sentencia, la actividad valorativa, volitiva y crítica que realiza el juez se cumple con un juicio lógico, pero el error en que incurra puede traducirse en un vicio in procedendo en la motivación de la sentencia o en un vicio in iudicando cuando no obstante la corrección formal del fallo existe error en la decisión del fondo del asunto.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ambas situaciones, la ley se interpreta para aplicarla: la ley sustantiva para aplicarla al juzgar y la ley procesal para aplicarla sobre el proceder.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¿Cómo se producen estos vicios?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errores o vicios pueden ser provocados por: inobservancia o errónea aplicación de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Cuando se hace referencia a “inobservancia” o “errónea aplicación”, parecería que se utilizan ambos vocablos como sinónimos pero, para una buena interpretación, es menester desentrañar el alcance de ambos términos.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Cuando se invoca la inobservancia se está ante un desconocimiento, desobediencia o falta de aplicación del precepto legal indicado; en cambio, cuando se menciona la errónea aplicación será ante una inadecuación o falta de correspondencia de la norma aplicada con el caso concreto. En términos más claros se podría afirmar que una norma es observada o cumplida, pero no es la que debía aplicarse, o es aplicada con una evidente mala interpretación de su mandato.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Vale aclarar que no cualquier violación o desconocimiento de una norma procesal habilita el recurso de casación; por esta razón debe tratarse ante todo de una norma que establezca o determine una forma procesal; la errónea aplicación o interpretación de una norma adjetiva, o sea, de un artículo del Código Procesal que no determine formas, no autoriza el recurso.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Corte al examinar el recurso de casación debe examinar si las normas establecidas imponen imperativamente una conducta, de modo que su violación ocasione una sanción procesal, capaz de privar de sus efectos al acto en caso de que no se las respete.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modo de ejemplo, se puede mencionar que el cumplimiento de las normas constitucionales relativas al procedimiento debe entendérselas prescriptas bajo pena de nulidad, atento a la jerarquía de la norma que la ley suprema dispone y son de aplicación preferente, por lo que procede el recurso de casación si son desconocidas.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cambio, cuando el vicio sólo determina una nulidad de carácter relativo, para que proceda el recurso de casación es necesario que el vicio no haya sido oportunamente subsanado, porque esto implica la desaparición del vicio y el perfeccionamiento del acto. La ley exige que para recurrir en casación se haga protesta oportuna contra el acto, para dejar a salvo el derecho del interesado y constancia de que no se lo consiente. Si no se ha efectuado en tiempo oportuno el reclamo y se ha omitido la protesta, el recurso será inadmisible, tal como lo dispone el artículo 467 del CPP 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 CUESTIONES REVISABLES POR CASACIÓN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través del recurso extraordinario de casación sólo se puede provocar una revalorización jurídica del material fáctico establecido en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la casación es un recurso extraordinario que excluye la posibilidad del examen y resolución “ex novo” de la cuestión justiciable, en todos sus aspectos de hecho y de derecho, remitiéndose, únicamente, al examen y resolución sobre la aplicación de la ley procesal o sustantiva hecha en el texto y cuerpo de la sentencia, siguiendo lo actuado (procedimiento) e interpretado (juicio y aplicación legal de fondo) dentro del proceso, debiendo excluirse lo valorado (nuevo análisis sobre la prueba o parámetros fácticos). El recurso de casación debe respetar los hechos de la causa, fijados por el tribunal del juicio, centrándose en ellos, ya que el recurso sólo procede sobre la base de la situación de hecho establecida por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Explica Vélez Mariconde que “el error de hecho no abre jamás la vía de la casación. La Corte no puede corregir un pretendido error sobre el examen y la evaluación de los medios de prueba o sea sobre la comprobación positiva o negativa de los hechos materiales y psíquicos; que el hecho delictuoso existe o no, que ha tenido el acusado tal o cual intención y que al perpetrarlo se encontraba en tal o cual estado psíquico; todo ello es materia que resuelve definitivamente el tribunal cognitivo o de sentencia y que a la Corte le está vedada. Su misión es de valoración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norma penal contiene una regulación abstracta de la conducta humana y esa regulación abstracta es el derecho y la concreción de la conducta supuesta en un acontecimiento real, es el hecho. Los hechos son los que debe determinar, ya en concreto y definitivamente, la sentencia del tribunal de juicio.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la norma penal en cuanto describe fáctica e hipotéticamente una eventual conducta humana punible, suministra el concepto jurídico o sea los parámetros de subsunción y aplicación legal. “Matar”, “hurtar”, “incendiar”, “premeditación”, “agravantes”, etc. son conceptos jurídicos y no simples hechos.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vicios de derecho pueden provenir de una errónea interpretación de la ley penal, como sería una incorrecta idea sobre lo que debe entenderse por “cosa mueble”, o por “agravante” o por “concurso ideal” o por “dolo”, etc. Por ejemplo, y analizando un hipotético caso de error in iudicando, en el concepto legal del hurto el juez encuadró una materialidad (factum-prueba) que no llena las condiciones que ese concepto exige.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distinción de lo que es hecho y de lo que es derecho, dentro de los poderes de la casación, es el problema fundamental que domina esta materia.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ello, se puede concluir sin temor a equívocos que: “Todo lo que sea valoración, inteligencia o interpretación de un concepto o de un instituto constituye objeto de casación. En cambio, el objeto material alcanzado por el concepto o por el instituto, es decir, el hecho histórico y concreto queda fuera de la posibilidad del recurso y definitivamente fijado en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relación al punto, es oportuno traer a colación la opinión del Dr. Fernando De La Rúa, quien sostiene que la función del juez es subsumir los hechos en la norma. Esta tarea debe ser correctamente realizada. Determinar por ejemplo si hubo robo, dependerá de la previa comprobación acerca de la existencia de un desapoderamiento ilegítimo con fuerza en las cosas o violencia en las personas, encuadrar esto en el concepto de robo es una función </w:t>
            </w:r>
            <w:r w:rsidRPr="001B7F27">
              <w:rPr>
                <w:rFonts w:ascii="Arial" w:eastAsia="Times New Roman" w:hAnsi="Arial" w:cs="Arial"/>
                <w:color w:val="003399"/>
                <w:sz w:val="17"/>
                <w:szCs w:val="17"/>
                <w:lang w:eastAsia="es-AR"/>
              </w:rPr>
              <w:lastRenderedPageBreak/>
              <w:t>secundaria derivada del hecho de que el juez haya comprobado en primer término la existencia de los presupuestos fácticos (si hubo fuerza o violencia).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 ADMISIBILIDAD DEL RECURSO DE CASACIÓN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decisiones o resoluciones de los órganos jurisdiccionales pueden ser objeto de impugnaciones por las partes, conforme a procedimientos reglados en la legislación procesal. A razón de ello, el primer análisis a efectuarse una vez interpuesto el recurso es precisamente la determinación de su admisibilidad o 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 respecto cabe apuntar que la facultad impugnativa surge específicamente de la ley procesal y deriva de la articulación del proceso como un sistema o método de debate racional, fundado y controlable. Así, las partes tienen un medio para cuestionar los actos del órgano jurisdiccional, sometiendo los mismos a un replanteo o a un nuevo estudio por parte del mismo órgano que dictó el decisorio o por otro diferente, en procura de la eliminación y/o subsanación de un eventual error formal o apreciativo 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Existen dos ideas básicas que inspiran a los recursos: por un lado, se los concibe como una garantía procesal establecida a favor del imputado y, por el otro, como un remedio procesal para restablecer la seguridad jurídica quebrantada con el pronunciamiento de resoluciones contradictorias; como consecuencia de esta última, se regula la posibilidad de uniformizar la interpretación judicial de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síntesis, se puede afirmar que los recursos son medios de impugnación o remedios procesales que la ley concede a las partes que “han sufrido un gravamen” con motivo de una resolución judicial desfavorable que contiene un error de juicio o un error formal, con la finalidad de obtener, mediante un nuevo estudio de las cuestiones resueltas, su revocatoria, modificación o nulidad, de modo más favorable a los intereses del recurrente; este estudio compete algunas veces a tribunales especializados y otras al máximo tribunal de un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sistema de juicio oral, los recursos se instituyen a fin de velar por la correcta aplicación de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razón de ello, se debe precisar que la admisibilidad del recurso de casación está dada por la observancia del conjunto de requisitos previstos en el derecho adjetivo, a fin de que posteriormente – en el sistema paraguayo – la Sala Penal de la Corte Suprema de Justicia se pronuncie sobre el fondo de la impugnación.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decir, el recurso procederá siempre y cuando sea interpuesto en la forma y término prescripto por la ley, por quien puede recurrir y contra la resolución pasible de impugnación por la presente vía.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ende, el examen sobre la procedencia del recurso debe versar sobre los siguientes aspectos: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la existencia de un derecho impugnaticio, para lo cual es necesario que la ley otorgue la posibilidad de recurrir en casación una resolución determinada (impugnabilidad objetiva), y que el sujeto esté legitimado para impugnar por tener un interés jurídico en la impugnación y capacidad legal para interponerla con relación al gravamen que la resolución le ocasiona (impugnabilidad subjetiva); 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 la concurrencia de los requisitos formales de modo, lugar y tiempo que deben rodear a la interposición del recurso como acto procesal 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instancia impugnativa de casación está munida de importantes recaudos formales. La resolución impugnada debe reunir las características determinadas en la ley que la hagan pasible de impugnación e igualmente se deben señalar y fundar los motivos para que sea admitida. Ello se debe a que se trata de un recurso eminentemente técnico.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artículo 480 del Código Procesal Penal, para el procedimiento del recurso de casación, claramente dispone que será el previsto para el recurso de apelación especial, siendo la única diferencia el término establecido para que la Corte Suprema de Justicia lo resuelva (un mes).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vez interpuesto el recurso, antes de proveer el trámite pertinente, la Corte Suprema de Justicia debe abocarse al análisis de admisibilidad del recurso, a fin de hacer uso de su facultad de rechazar in limine aquellos interpuestos sin las formalidades previstas en la legislación procesal respectiva.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debe recordar que el principio de taxatividad rige el recurso extraordinario de casación en cuanto al objeto (tipo de resoluciones) así como los motivos (fondo) de la casación, se determina una relación indescindible para la viabilidad del recurso.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primer lugar, se debe verificar la fecha de interposición del recurso a fin de determinar si el mismo ha sido o no planteado en el plazo pertinente. Al respecto, se debe apuntar que el plazo previsto para la interposición del recurso de casación es de diez días computados a partir del día siguiente de la notificación de la resolución a ser impugnada, de conformidad al artículo 480 en concordancia con el 468 del Código Procesal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A razón de ello, la Sala Penal de la Corte Suprema de Justicia, constituida en tribunal de casación, en caso de advertir la extemporaneidad de la interposición del recurso, debe rechazarlo in limine.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Otro punto que se debe cumplir es la enunciación del motivo base del recurso, debiendo individualizar clara y fehacientemente el vicio que justifique la impugnación. En otras palabras, es requisito fundamental “individualizar el agravio”, de modo que a través del mismo se pueda determinar también la violación de la ley que lo constituye. En el recurso de casación la mención específica del artículo de la ley respecto del cual se sostiene que se ha cometido un error de derecho, constituye un ineludible requisito de admisibilidad6.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instancia extraordinaria de casación, es menester puntualizar los extremos de la decisión que producen el agravio, indicando concretamente las disposiciones que se consideran violadas, en qué consiste el vicio atribuido al pronunciamiento y qué normas se estiman aplicables, y en forma clara, precisa y técnica se darán las suficientes razones fundamentadoras del agravio7.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caso de plantearse el recurso extraordinario de casación directa (per saltum) en virtud al artículo 479 del Código Procesal Penal, la Corte Suprema de Justicia, antes de otorgar el trámite respectivo para el recurso interpuesto, deberá valorar las argumentaciones esgrimidas por el casacionista, a fin de que si considerase que las mismas son atendibles por el recurso de apelación especial, resuelva la remisión de las actuaciones al tribunal competente.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en el caso contrario, la Corte, previo trámite pertinente, resolviera el fondo de la cuestión sometida a su consideración, ya no correspondería la remisión de los autos al Tribunal Inferior, pues con ello estaría sometiendo su propio fallo a la revisión de un órgano inferior en la jerarquía jurisdiccional, provocando una contradicción procesal.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necesario a razón de lo precedentemente expuesto que el estudio de admisibilidad del recurso se circunscriba al cumplimiento del conjunto de presupuestos genéricos que la ley prescribe para la procedencia del medio impugnativo, sin relacionarlas con sujeto procesal alguno.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contexto, la ley procesal claramente indica las resoluciones pasibles de impugnación por la presente vía. A ese efecto, el artículo 477 del Código Procesal Penal de forma clara señala las resoluciones que pueden ser impugnadas por el recurso en estudio, y a tenor del texto legal se puede realizar la siguiente clasificación: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a)Sentencias Definitivas del Tribunal de Apelaciones;</w:t>
            </w:r>
            <w:r w:rsidRPr="001B7F27">
              <w:rPr>
                <w:rFonts w:ascii="Arial" w:eastAsia="Times New Roman" w:hAnsi="Arial" w:cs="Arial"/>
                <w:color w:val="003399"/>
                <w:sz w:val="17"/>
                <w:szCs w:val="17"/>
                <w:lang w:eastAsia="es-AR"/>
              </w:rPr>
              <w:br/>
              <w:t>b)Aquellas resoluciones de ese Tribunal que pongan fin al procedimiento;</w:t>
            </w:r>
            <w:r w:rsidRPr="001B7F27">
              <w:rPr>
                <w:rFonts w:ascii="Arial" w:eastAsia="Times New Roman" w:hAnsi="Arial" w:cs="Arial"/>
                <w:color w:val="003399"/>
                <w:sz w:val="17"/>
                <w:szCs w:val="17"/>
                <w:lang w:eastAsia="es-AR"/>
              </w:rPr>
              <w:br/>
              <w:t>c)Aquellas resoluciones de ese tribunal que extingan la acción;</w:t>
            </w:r>
            <w:r w:rsidRPr="001B7F27">
              <w:rPr>
                <w:rFonts w:ascii="Arial" w:eastAsia="Times New Roman" w:hAnsi="Arial" w:cs="Arial"/>
                <w:color w:val="003399"/>
                <w:sz w:val="17"/>
                <w:szCs w:val="17"/>
                <w:lang w:eastAsia="es-AR"/>
              </w:rPr>
              <w:br/>
              <w:t>d)Aquellas resoluciones de ese tribunal que extingan la pena;</w:t>
            </w:r>
            <w:r w:rsidRPr="001B7F27">
              <w:rPr>
                <w:rFonts w:ascii="Arial" w:eastAsia="Times New Roman" w:hAnsi="Arial" w:cs="Arial"/>
                <w:color w:val="003399"/>
                <w:sz w:val="17"/>
                <w:szCs w:val="17"/>
                <w:lang w:eastAsia="es-AR"/>
              </w:rPr>
              <w:br/>
              <w:t>e)Aquellas resoluciones de ese tribunal que denieguen la extinción de la pena;</w:t>
            </w:r>
            <w:r w:rsidRPr="001B7F27">
              <w:rPr>
                <w:rFonts w:ascii="Arial" w:eastAsia="Times New Roman" w:hAnsi="Arial" w:cs="Arial"/>
                <w:color w:val="003399"/>
                <w:sz w:val="17"/>
                <w:szCs w:val="17"/>
                <w:lang w:eastAsia="es-AR"/>
              </w:rPr>
              <w:br/>
              <w:t>f)Aquellas resoluciones de ese tribunal que denieguen la conmutación de la pena; y</w:t>
            </w:r>
            <w:r w:rsidRPr="001B7F27">
              <w:rPr>
                <w:rFonts w:ascii="Arial" w:eastAsia="Times New Roman" w:hAnsi="Arial" w:cs="Arial"/>
                <w:color w:val="003399"/>
                <w:sz w:val="17"/>
                <w:szCs w:val="17"/>
                <w:lang w:eastAsia="es-AR"/>
              </w:rPr>
              <w:br/>
              <w:t>g)Aquellas resoluciones de ese tribunal que denieguen la suspensión de la pena.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recurso de casación es un recurso técnico, rodeado de exigentes rigores, debido a que supone un ataque contra la sentencia por agravios a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obstante, la claridad de la norma, en la práctica no ha existido una postura uniforme sobre las resoluciones que pueden ser “objeto” del presente recurso, como se podrá apreciar en diversos fallos8.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Establecida la gama de resoluciones impugnables por recurso de casación y las opiniones dispares de la Excma. Corte Suprema de Justicia, a continuación se debe indicar que tales resoluciones podrán ser impugnadas siempre y cuando se concurran en la misma uno de los motivos previstos en el artículo 478 del Código de forma, que dice: “El recurso extraordinario de casación procederá, exclusivamente: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Cuando en la sentencia de condena se imponga una pena privativa de libertad mayor a diez años y se alegue la inobservancia o errónea aplicación de un precepto constitucional.-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Comentario: En caso de que sea alegada dicha causal siempre deben concurrir ambos presupuestos establecidos en la norma que se enlazan con la conjunción copulativa “Y”. Es decir, en el fallo se debe imponer una pena superior a los diez años y se deben conculcar principios constitucionales, ya sea por inobservancia (desconocimiento o desobediencia) o por una errónea aplicación (inadecuación o falta de correspondencia de la norma aplicada con el caso concreto).-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Cuando la sentencia o el auto impugnado sea contradictorio con un fallo anterior de un Tribunal de Apelaciones o de la Corte Suprema de Justicia.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Comentario: En caso de que el casacionista alegue el precedente motivo, siempre debe adjuntar las pruebas en que basa tal afirmación pues, la carga de la prueba le compete al recurrente, quien deberá desvirtuar la doble presunción de la que goza toda resolución judicial, la de acierto y de legalidad.-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3) Cuando la sentencia o el auto sean manifiestamente infundados.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Comentario: Para desentrañar el verdadero alcance del motivo citado se debe primeramente realizar un breve estudio sobre la trascendencia del deber de motivación de la sentencia, pues la falta o insuficiencia de la misma, provoca un vicio in procedendo.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motivación a más de un requisito formal constituye el elemento intelectual de contenido crítico, valorativo y lógico. Es el conjunto de razonamientos de hecho y derecho en los cuales el juez apoya su decisión y que se consignan habitualmente en los “considerandos” de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sentencia, para ser valida, debe ser motivada o fundada. Esta exigencia, constituye una garantía constitucional, no sólo para el sujeto pasivo del derecho procesal sino también para el Estado, en cuanto tiende a asegurar la recta administración de justicia.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 respecto, es dable traer a colación lo prescripto por el artículo 256 de la Constitución Nacional que de manera imperativa dispone: “... Toda sentencia judicial debe estar fundada en esta Constitución y en la ley...”. Como se podrá apreciar, la exigencia de fundamentación surge de forma clara como mandato constitucional, implantada en el régimen del Estado de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Sólo a través de la motivación de los fallos los interesados podrán conocer las razones del juzgador que “justitifiquen” la resolución y así decidir su aceptación o fundar su impugnación por los medios que la ley concede.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“tribunal de casación” es el supremo guardián del cumplimiento de las formas procesales, entre las cuales está la fundamentación de la sentencia. Su función abarca exclusivamente el puro ámbito del derecho, le esta vedado descender a los hechos. Los hechos aparecen bajo la forma del material probatorio y de su eficacia probatoria; el derecho, en cambio, aparece bajo la forma de las reglas jurídicas que regulan la forma y el contenido de la motivación.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valoración de las pruebas y la determinación de las conclusiones inferidas de ellas es potestad soberana del tribunal de mérito. El “tribunal de Casación” sólo puede controlar si esas pruebas son válidas (legitimidad), si las conclusiones obtenidas responden a las reglas del recto entendimiento humano (logicidad) y si la motivación así constituida es expresa, clara, completa y emitida con arreglo a las normas prescriptas (juzga lo extrínseco e intrínseco del auto o sentencia). Fuera de este límite el ejercicio de la libre convicción del juzgador está excluido del control de la casación. </w:t>
            </w:r>
            <w:r w:rsidRPr="001B7F27">
              <w:rPr>
                <w:rFonts w:ascii="Arial" w:eastAsia="Times New Roman" w:hAnsi="Arial" w:cs="Arial"/>
                <w:color w:val="003399"/>
                <w:sz w:val="17"/>
                <w:szCs w:val="17"/>
                <w:lang w:eastAsia="es-AR"/>
              </w:rPr>
              <w:br/>
              <w:t>Ahora bien, a fin de un acabado conocimiento de cuanto prescribe la norma es necesario determinar el alcance de los términos utilizados. Es decir, cuándo se está ante una resolución “manifiestamente infundada”, o si se habla de una resolución “carente de fundamentación”, o con una “fundamentación insuficiente” se está hablando de lo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ello, es menester analizar el contexto de la previsión: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Primeramente, pensar en una ausencia total de fundamentación de forma teórica estaría bordeando la noción de carencia formal de un elemento estructural del fallo, cosa que sería inconcebible, por lo que sólo se podría hablar de una fundamentación insuficiente, en cuyo caso se tendrá una incompleta justificación de la decisión (auto o sentencia) del juzgador.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caso de una manifiesta “infundamentación”, se hablaría de una notoria injustificación jurídica del fallo, que en uno u otro caso abren la vía del recurso extraordinario de casación, por mandato del artículo 403 inciso 4) del Código Procesal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citado precepto textualmente prescribe: “Los defectos de la sentencia que habilitan la apelación y la casación, serán los siguientes:... 4) que carezca, sea insuficiente o contradictoria la fundamentación de la mayoría del tribunal. Se entenderá que la fundamentación es insuficiente cuando se utilicen formularios, afirmaciones dogmáticas, frases rutinarias o se utilicen, como fundamentación, el simple relato de los hechos o cualquier otra forma de reemplazarla por relatos insustanciales. Se entenderá que es contradictoria la fundamentación cuando no se han observado en el fallo las reglas de la sana crítica, con respecto a medios o elementos probatorios de valor decisivo...'.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fundamentación contradictoria constituye igualmente causal de casación debido a que al existir una insalvable discrepancia entre los fundamentos que invoca la resolución, o entre estos y la parte resolutiva del fallo – de tal modo que se excluyen entre sí – el fallo queda privado de motivación.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Esto es así, a pesar de lo sostenido al respecto por la Excma. Corte Suprema de Justicia, que dice: “... En cuando a que por “contradictorio” el Fallo “CARECE DE FUNDAMENTO” es, indudablemente, una interpretación absolutamente inadmisible, torcida; pues, antes que carecer de fundamentos la resolución tendría una suma de fundamentos, desde el momento en que los mismos son “contradictorios” y, naturalmente, diferentes. Y desde que existen FUNDAMENTOS, aunque presuntamente contradictorios, el pedido no se encuadra dentro de lo establecido </w:t>
            </w:r>
            <w:r w:rsidRPr="001B7F27">
              <w:rPr>
                <w:rFonts w:ascii="Arial" w:eastAsia="Times New Roman" w:hAnsi="Arial" w:cs="Arial"/>
                <w:color w:val="003399"/>
                <w:sz w:val="17"/>
                <w:szCs w:val="17"/>
                <w:lang w:eastAsia="es-AR"/>
              </w:rPr>
              <w:lastRenderedPageBreak/>
              <w:t>por el inc. 3) del Art. 478 del Código Procesal Penal...”9.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Profundizando sobre la materia, en la doctrina se tiene que la falta de motivación o fundamentación en derecho puede consistir en tres supuestos: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En la no descripción del hecho que debe servir de sustento a la calificación. Para que la sentencia sea motivada en los hechos debe suministrar las pruebas en que se fundan las conclusiones fácticas; deben DEMOSTRARLOS. Para que sea fundada en derecho, la sentencia debe explicar los hechos objeto de subsunción jurídica; debe, en una palabra DESCRIBIRLOS.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En no justificar legalmente la calificación jurídica o el derecho de resarcimiento. Basta con que el Tribunal indique concretamente cual es el encuadramiento legal o la interpretación a que él llega, porque cumple con el deber de motivar señalando claramente su conclusión sobre la valoración jurídica del caso.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Además de expresar el encuadramiento legal del hecho, para motivar en derecho el juez debe también fundamentar la aplicación de las consecuencias jurídicas que de ese encuadramiento se deriven; en lo relativo a la pena, aunque su fijación responda a un poder discrecional, dentro de los parámetros establecidos por el órgano encargado de la pretensión punitiva del Estado (Ministerio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Entonces, para considerar que una resolución se encuentra debidamente fundada, la misma: Debe tener motivación EXPRESA: consignar las razones que determinan la condena o la absolución. Debe ser CLARA: los jueces deben expedirse en un lenguaje sencillo que exponga directamente la expresión de su pensamiento para que este pueda ser determinado y comprendido por los demás (y no sólo por abogados). Debe ser COMPLETA: el tribunal debe expedirse sobre todas las cuestiones esenciales o fundamentales que determinan el fallo. Debe ser LEGÍTIMA: tal virtud se refiere a la validez intrínseca (ajuste a la constitucionalidad y ajuste a la legalidad) de las pruebas valoradas en la sentencia. Debe ser LÓGICA: la fundamentación es una operación racional fundada en la certeza y el juez debe observar los principios lógicos supremos o leyes supremas del pensamiento que gobiernan la elaboración de los juicios.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Observados los presupuestos previamente expuestos, es dable apuntar que la Excma. Corte Suprema de Justicia ha emitido fallos muy destacados con el fin de determinar el contenido exacto de lo que debe entenderse como “resolución manifiestamente infundada”,en las resoluciones que a continuación se transcriben se podrá apreciar lo afirmado: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El Tribunal de Alzada ha computado en forma errada el plazo para la interposición del recurso correspondiente, por lo que se podría afirmar que la citada resolución es manifiestamente infundada, al realizar un razonamiento ilógico inobservando los preceptos legales que regulan la procedencia utilizada por la defensa del condenado. La decisión arribada por los Miembros del Órgano Superior no refleja la concurrencia de ningún método lógico que determine una argumentación razonada, ni razonable para la interpretación adecuada de la norma aplicada... Analizando los rudimentos esgrimidos por las partes a la luz de la doctrina y las normas procesales, se puede afirmar que la resolución dictada por el Tribunal de Apelaciones carece de fundamentación desde el momento que las razones jurídicas que sustentan a la misma fueron aplicadas en forma equivocada, lo que deriva forzosamente en una Sentencia que a todas luces resulta arbitraria, por lo que se dan los presupuestos para la procedencia del Recurso Extraordinario de Casación...” 10.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el Tribunal de Apelación no tiene facultades discrecionales y que debe conocer y remitirse, exclusivamente, a los puntos impugnados de la resolución apelada, en este caso, por la defensora de los puntos impugnados de la resolución apelada, en este caso, por la defensora de los procesados en mención... el Tribunal de Apelación no tiene facultad o atribución para salirse de la órbita apuntada o prevista por los dos artículos individualizados y menos aún, para perjudicar con sus inobservancias a la defensa, única apelante. Esta resolución del Tribunal, en las condiciones señaladas, al violar terminantes disposiciones legales deviene, incuestionablemente nula... siendo ello así, como lo es, en mi opinión corresponde hacer lugar al Recurso Extraordinario de Casación planteado, ya sin otras observaciones, dada la simplicidad del caso, y por ser la inobservancia o violación de la ley un caso típico de casación. Consecuentemente, es lógico y natural que no pueda hablarse de fundamentación o motivación del Acuerdo y Sentencia en recurso, pues, en todo caso sería una motivación falsa, que infringe no sólo el inciso 3) del Art. 478 del Código Procesal Penal, sino el propio Art. 256 del Constitución nacional, que exige que toda resolución debe fundarse en la Constitución y en la Ley...” 11.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ese contexto, corresponde señalar la importancia de la uniformidad que debe mantener el órgano encargado de resolver este recurso, considerando que a través de ello, determina jurisprudencias nacionales que apuntan la buena aplicación de la ley y evitan la arbitrariedad jurisdiccional.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Finalmente, se debe apuntar que el recurso de casación supone siempre una demanda rodeada de las más exigentes precisiones de razonamiento lógico, para fundar la impugnación del fallo, y así posibilitar el estudio y la impugnación de la resolución, en su caso.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VII)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Estado de Derecho requiere imperiosamente de un órgano especializado que controle la observancia de la ley y su interpretación uniforme a fin de que la misma no se desnaturalice so pretexto de buscarle sentido. En Paraguay, a la Corte Suprema de Justicia, como máxima instancia judicial, se le ha encomendado esta labor y el recurso de casación es el medio implementado para que la misma supervise la realización de los mandatos jurídicos nacidos de la ley en los hechos concretos analizados por los órganos jurisdiccionales inferiores.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Y así, siendo la unificación de la jurisprudencia, uno de los fines perseguidos por el recurso extraordinario de casación, y estando aún la Corte Suprema de Justicia en un periodo de adaptación de tan novel instituto penal, es dable recordar que a ella compete la creación y transformación de la jurisprudencia nacional, en busca de la adaptación de la ley a las nuevas exigencias del derecho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DE LA CASACIÓN y LA REVISIÓN PENAL Germán Pabón Gómez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DE LA CASACIÓN PENAL Fernando De La Rúa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RECURSO DE CASACIÓN PENAL Oscar R. Pandolfi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 EL HECHO Y EL DERECHO EN LA CASACIÓN Jorge Nieva Fenoll </w:t>
            </w:r>
            <w:r w:rsidRPr="001B7F27">
              <w:rPr>
                <w:rFonts w:ascii="Arial" w:eastAsia="Times New Roman" w:hAnsi="Arial" w:cs="Arial"/>
                <w:color w:val="003399"/>
                <w:sz w:val="17"/>
                <w:szCs w:val="17"/>
                <w:lang w:eastAsia="es-AR"/>
              </w:rPr>
              <w:br/>
              <w:t>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TEORICA CONSTITUCIONAL DEL PROCESO Edgardo Villamil Portilla</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2"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after="0" w:line="240" w:lineRule="auto"/>
              <w:rPr>
                <w:rFonts w:ascii="Arial" w:eastAsia="Times New Roman" w:hAnsi="Arial" w:cs="Arial"/>
                <w:color w:val="003399"/>
                <w:sz w:val="17"/>
                <w:szCs w:val="17"/>
                <w:lang w:eastAsia="es-AR"/>
              </w:rPr>
            </w:pPr>
            <w:bookmarkStart w:id="20" w:name="20"/>
            <w:bookmarkEnd w:id="20"/>
            <w:r w:rsidRPr="001B7F27">
              <w:rPr>
                <w:rFonts w:ascii="Arial" w:eastAsia="Times New Roman" w:hAnsi="Arial" w:cs="Arial"/>
                <w:b/>
                <w:bCs/>
                <w:color w:val="009933"/>
                <w:sz w:val="20"/>
                <w:szCs w:val="20"/>
                <w:lang w:eastAsia="es-AR"/>
              </w:rPr>
              <w:t>"Estudio Práctico del Derecho de Sociedades en el Paraguay"</w:t>
            </w:r>
            <w:r w:rsidRPr="001B7F27">
              <w:rPr>
                <w:rFonts w:ascii="Arial" w:eastAsia="Times New Roman" w:hAnsi="Arial" w:cs="Arial"/>
                <w:color w:val="003399"/>
                <w:sz w:val="17"/>
                <w:szCs w:val="17"/>
                <w:lang w:eastAsia="es-AR"/>
              </w:rPr>
              <w:br/>
              <w:t>Lucila Ortiz de Di Martino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 xml:space="preserve">Derecho Civil y Comercial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3"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SUMARIO: 1. Generalidades.- 2. Naturaleza jurídica.- 3. Elementos: 3.1. Utilidad apreciable en beneficios; 3.2. Participación en las ganancias y pérdidas; 3.3. Affectio societatis.- 4. Caracteres del contrato de sociedad: 4.1. Es oneroso; 4.2. Es consensual; 4.3. Es de gestión colectiva; 4.4. Es de tracto sucesivo.- 5. Ubicación de las sociedades dentro del sistema jurídico.- 6. Forma de constitución de las sociedades.- 7. Nacionalidad de las sociedades: 7.1. Tesis afirmativas; 7.2. Tesis negativas; 7.3. Tesis intermedia; 7.4. Régimen de la nacionalidad en la Rca. del Paraguay.- 8. Clases de sociedades según la legislación paraguaya: 8.1. Sociedad Simple; 8.2. Sociedad Colectiva; 8.3. Sociedad en comandita; 8.4. Sociedad Anónima; 8.5. Sociedad de Capital e Industria (regida por la Ley Nº 117/93; 8.6. Sociedad de Responsabilidad Limitada.- 9. Transformación y fusión de las sociedades.- 10. Régimen de inscripciones.- 11. Régimen de sociedades en el campo del Derecho Internacional Privado.-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3.GENERALIDADES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hombre, no podría satisfacer muchas de sus necesidades y apetencias sin unir sus esfuerzos a otros hombres. El fenómeno de la asociación ha alcanzado en las sociedades modernas, difusión e importancia excepcionales. El </w:t>
            </w:r>
            <w:r w:rsidRPr="001B7F27">
              <w:rPr>
                <w:rFonts w:ascii="Arial" w:eastAsia="Times New Roman" w:hAnsi="Arial" w:cs="Arial"/>
                <w:color w:val="003399"/>
                <w:sz w:val="17"/>
                <w:szCs w:val="17"/>
                <w:lang w:eastAsia="es-AR"/>
              </w:rPr>
              <w:lastRenderedPageBreak/>
              <w:t>instrumento jurídico, quizás el más importante del que se valen los seres humanos para la consecución de sus fines comunes es el contrato de sociedad.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artículo 959 del Código Civil Paraguayo, dispone: 'Por el contrato de sociedad, dos o más personas, creando un sujeto de derecho, se obligan a realizar aportes para producir bienes o servicios, en forma organizada, participando de los beneficios y soportando las pérdidas'.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4.NATURALEZA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concepción clásica, la sociedad es un contrato. Esta concepción ha sido puesta a prueba por la doctrina moderna que preocupada sobretodo, por la persona jurídica que nace del acto, ha llegado inclusive a negarle naturaleza contractual. Gierke, fue el primer expositor de esta idea; sostuvo que no es un contrato, porque éste sólo puede hacer nacer relaciones jurídicas entre las partes y en nuestro caso no se trata de tales relaciones sino de la creación de una nueva persona jurídica. A lo que puede objetarse que también se regulan las relaciones de los socios ente sí.</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Messineo, afirma que el contrato es una síntesis de voluntades que se contraponen y entrecruzan; en él las declaraciones de voluntad tienen un contenido heterogéneo y tienden a conciliar intereses no coincidentes, por lo cual producen efectos diversos para cada parte. En el acto constitutivo de la sociedad, no hay nada de eso. Es un acto colectivo complejo, en el que se realiza el fenómeno de la comunión de declaraciones de voluntad del mismo contenido tendiente a un efecto jurídico común; es una suma de declaraciones de voluntad dispuestas paralelamente.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idea, aunque brillantemente expuesta, no es convincente. Porque el contrato de sociedad es también la síntesis final de intereses contrapuestos. Los futuros socios discuten la importancia de sus aportes, de su participación en los beneficios, de la administración de la sociedad, etc. Esta nace de la negociación, del sacrificio de ciertos intereses para lograr el reconocimiento de otras ventajas. La génesis es la misma que la de cualquier contrato. Esta es la idea hoy predominante.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Algunos autores sostienen la necesidad de distinguir el acuerdo de voluntades del estatuto de la sociedad, que no tiene carácter contractual sino normativo. En las sociedades civiles, sin embargo, no es posible distinguir entre el contrato y el estatuto. El contrato, a la vez que un acuerdo de voluntades, sirve de espina dorsal a la nueva entidad creada; por ello es que sus cláusulas no solo mencionan los derechos y deberes recíprocos de los socios, sino que regulan la organización y funcionamiento de la entidad y las condiciones en que ésta puede celebrar válidamente los actos jurídicos, en mira a los cuales ha sido constituida. Y si el contrato lo prevé, será complementado por las normas legales supletorias, ya que tal regulación es escencial a la sociedad.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diferencia de los restantes contratos conmutativos, en que las partes intercambian prestaciones a base de intereses contrapuestos, la sociedad provoca la creación de una comunidad de bienes y de trabajo, para alcanzar fines paralelos de los socios. Los socios no cambian sus prestaciones de forma que cada uno reciba la de otro, sino que las concentran o fusionan para obtener por medio de esta unión el fin común; lo que cada individuo obtiene para sí de la sociedad no la recibe directamente de sus socios, sino de los rendimientos de la actuación y del patrimonio comunes.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5.ELEMENTOS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Utilidad apreciable en beneficios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Cuando los beneficios son puramente científicos, de bien común o en general de fines no lucrativos o económicos, nos encontramos frente a otras figuras asociativas que no son propiamente sociedades. Pueden ser Asociaciones de bien común o con capacidad restringida, Cooperativas, Fundaciones,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cambio, el código exige como elemento escencial, que la sociedad tenga un fin económico. El Código Argentino es más específico en esto al hablar de utilidad apreciable en dinero.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Participación en las ganancias y pérdidas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 la esencia del contrato de sociedad, la participación de todos los socios en las pérdidas y las utilidades, tanto que, si alguno de ellos, no participa de unas o de otras, la sociedad es nula (art. 961 del Código Civil Paraguayo).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Affectio societatis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doctrina clásica concebía la unión de los socios como vínculo de simpatía y confraternidad entre ellos. Aunque a primera vista atrayente, la idea de que la Affectio Societatis sea elemento esencial del contrato carece de sentido. Es </w:t>
            </w:r>
            <w:r w:rsidRPr="001B7F27">
              <w:rPr>
                <w:rFonts w:ascii="Arial" w:eastAsia="Times New Roman" w:hAnsi="Arial" w:cs="Arial"/>
                <w:color w:val="003399"/>
                <w:sz w:val="17"/>
                <w:szCs w:val="17"/>
                <w:lang w:eastAsia="es-AR"/>
              </w:rPr>
              <w:lastRenderedPageBreak/>
              <w:t>como pedir que para el mandato se exija confianza, para contraer matrimonio amor.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verdad, lo que une a los socios y constituye el elemento esencial, es el fin común; si éste existe, y además se encuentran reunidos los restantes requisitos legales, la sociedad existirá, haya o no entre los socios amistad, confianza, simpatía. Por eso, los autores modernos prescinden hoy mencionar la affectio societatis como elemento del contrato.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CARACTERES DEL CONTRATO DE SOCIEDAD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bilateral o multilateral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se trata de la conmutación de prestaciones entre las partes que tienen intereses contrapuestos, sino que provoca la creación de una comunidad de bienes y de trabajo.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oneroso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Porque todos los socios tienen obligación de hacer sus aportes.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consensual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Porque basta el consentimiento para formarlo aunque debe ajustarse a las formas que la ley establece.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 gestión colectiva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Porque todos los socios se obligan recíprocamente a propulsar mediante su cooperación el fin común.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 tracto sucesivo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Porque la situación jurídica creada es duradera.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5. UBICACIÓN DE LA SOCIEDAD DENTRO DEL SISTEMA JURÍDICO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1º de la Ley Nº 388/94 enumera las personas jurídicas de la siguiente forma: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6.El Estado</w:t>
            </w:r>
            <w:r w:rsidRPr="001B7F27">
              <w:rPr>
                <w:rFonts w:ascii="Arial" w:eastAsia="Times New Roman" w:hAnsi="Arial" w:cs="Arial"/>
                <w:color w:val="003399"/>
                <w:sz w:val="17"/>
                <w:szCs w:val="17"/>
                <w:lang w:eastAsia="es-AR"/>
              </w:rPr>
              <w:br/>
              <w:t>7.Los Gobiernos Departamentales3 y las Municipalidades</w:t>
            </w:r>
            <w:r w:rsidRPr="001B7F27">
              <w:rPr>
                <w:rFonts w:ascii="Arial" w:eastAsia="Times New Roman" w:hAnsi="Arial" w:cs="Arial"/>
                <w:color w:val="003399"/>
                <w:sz w:val="17"/>
                <w:szCs w:val="17"/>
                <w:lang w:eastAsia="es-AR"/>
              </w:rPr>
              <w:br/>
              <w:t>8.Las Iglesias y las Confesiones Religiosas</w:t>
            </w:r>
            <w:r w:rsidRPr="001B7F27">
              <w:rPr>
                <w:rFonts w:ascii="Arial" w:eastAsia="Times New Roman" w:hAnsi="Arial" w:cs="Arial"/>
                <w:color w:val="003399"/>
                <w:sz w:val="17"/>
                <w:szCs w:val="17"/>
                <w:lang w:eastAsia="es-AR"/>
              </w:rPr>
              <w:br/>
              <w:t>9.Los entes autárquicos, autónomos y los de economía mixta y demás entes del Derecho Público que conforme con la respectiva legislación, sean capaces de adquirir bienes y obligarse4</w:t>
            </w:r>
            <w:r w:rsidRPr="001B7F27">
              <w:rPr>
                <w:rFonts w:ascii="Arial" w:eastAsia="Times New Roman" w:hAnsi="Arial" w:cs="Arial"/>
                <w:color w:val="003399"/>
                <w:sz w:val="17"/>
                <w:szCs w:val="17"/>
                <w:lang w:eastAsia="es-AR"/>
              </w:rPr>
              <w:br/>
              <w:t>10.Las Universidades</w:t>
            </w:r>
            <w:r w:rsidRPr="001B7F27">
              <w:rPr>
                <w:rFonts w:ascii="Arial" w:eastAsia="Times New Roman" w:hAnsi="Arial" w:cs="Arial"/>
                <w:color w:val="003399"/>
                <w:sz w:val="17"/>
                <w:szCs w:val="17"/>
                <w:lang w:eastAsia="es-AR"/>
              </w:rPr>
              <w:br/>
              <w:t>11.Las Asociaciones que tengan por objeto el bien común5</w:t>
            </w:r>
            <w:r w:rsidRPr="001B7F27">
              <w:rPr>
                <w:rFonts w:ascii="Arial" w:eastAsia="Times New Roman" w:hAnsi="Arial" w:cs="Arial"/>
                <w:color w:val="003399"/>
                <w:sz w:val="17"/>
                <w:szCs w:val="17"/>
                <w:lang w:eastAsia="es-AR"/>
              </w:rPr>
              <w:br/>
              <w:t>12.Las Asociaciones inscriptas con capacidad restringida</w:t>
            </w:r>
            <w:r w:rsidRPr="001B7F27">
              <w:rPr>
                <w:rFonts w:ascii="Arial" w:eastAsia="Times New Roman" w:hAnsi="Arial" w:cs="Arial"/>
                <w:color w:val="003399"/>
                <w:sz w:val="17"/>
                <w:szCs w:val="17"/>
                <w:lang w:eastAsia="es-AR"/>
              </w:rPr>
              <w:br/>
              <w:t>13.Las Fundaciones</w:t>
            </w:r>
            <w:r w:rsidRPr="001B7F27">
              <w:rPr>
                <w:rFonts w:ascii="Arial" w:eastAsia="Times New Roman" w:hAnsi="Arial" w:cs="Arial"/>
                <w:color w:val="003399"/>
                <w:sz w:val="17"/>
                <w:szCs w:val="17"/>
                <w:lang w:eastAsia="es-AR"/>
              </w:rPr>
              <w:br/>
              <w:t>14.Las Sociedades Anónimas</w:t>
            </w:r>
            <w:r w:rsidRPr="001B7F27">
              <w:rPr>
                <w:rFonts w:ascii="Arial" w:eastAsia="Times New Roman" w:hAnsi="Arial" w:cs="Arial"/>
                <w:color w:val="003399"/>
                <w:sz w:val="17"/>
                <w:szCs w:val="17"/>
                <w:lang w:eastAsia="es-AR"/>
              </w:rPr>
              <w:br/>
              <w:t>15.Las Cooperativas6</w:t>
            </w:r>
            <w:r w:rsidRPr="001B7F27">
              <w:rPr>
                <w:rFonts w:ascii="Arial" w:eastAsia="Times New Roman" w:hAnsi="Arial" w:cs="Arial"/>
                <w:color w:val="003399"/>
                <w:sz w:val="17"/>
                <w:szCs w:val="17"/>
                <w:lang w:eastAsia="es-AR"/>
              </w:rPr>
              <w:br/>
              <w:t>16.Las demás Sociedades reguladas en el Libro III del Código Civil Paraguayo7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Son también personas jurídicas los Estados Extranjeros, los Organismos Internacionales reconocidos por la República y demás personas jurídicas extranjeras8.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17.FORMA DE CONSTITUCIÓN DE LAS SOCIEDADES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sociedades anónimas9 y las de responsabilidad limitada10 deben constituirse por escritura pública.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demás sociedades, solo exigen la escritura pública como forma documental si el aporte de cada socio es mayor de 100 jornales mínimos establecidos para la capital o consista en la transferencia de bienes inmuebles o de un bien que deba ser registrado11.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formalidad rige tanto para la constitución, como para la prórroga o modificación de sociedades.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18.NACIONALIDAD DE LAS SOCIEDADES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El concepto de la nacionalidad está indiscutiblemente relacionado con la vinculación de índole política entre un individuo y un Estado al que pertenece, generando una serie de obligaciones, tal como lo reconoce el Derecho Internacional Privado. Pero en la temática de las personas de existencia ideal, existen opiniones dispares, entre las que niegan sistemáticamente la nacionalidad de las sociedades a aquellas que la afirman.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18.1.Tesis afirmativas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representantes de esta tesis oscilan entre los que asimilan totalmente la personalidad física con la moral indicando que la nacionalidad no es un vínculo de naturaleza esencialmente política, situación que puede reproducirse no sólo en las personas de existencia visible sino también en las morales; hasta los que sostienen que el reconocimiento de la nacionalidad de las sociedades es más imperioso en las personalidades de existencia ideal que en las físicas.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ha querido justificar la nacionalidad con muchos argumentos: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19.Autonomía de la voluntad: Los socios son libres y autónomos, pueden determinar el objeto, el capital y demás estipulaciones y por lo tanto también fijar la nacionalidad de la sociedad. Los partidarios de este argumento se olvidan que los socios carecen de ese atributo ya que el mismo es una prerrogativa del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20.Nacionalidad de los socios: De acuerdo con este criterio, la nacionalidad de los integrantes de una sociedad determina la nacionalidad de ésta. No tiene en cuenta que en un ente societario pueden existir socios de diferentes nacionalidades.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21.Lugar de la autorización: Será el lugar de la autorización para funcionar el de su nacionalidad. Las legislaciones conceden autorizaciones para el funcionamiento de las sociedades constituidas en distintos países siempre que se adecuen a las disposiciones legales internas de cada país, por lo tanto, una sociedad puede estar autorizada para funcionar en distintos países y no por eso tendrá distintas nacionalidades.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22.Lugar de constitución: La sociedad tendrá la nacionalidad del país donde se constituyó, pero no toma en cuenta, que en realidad la constitución no es un acto trascendente en la vida societaria, sino su actividad que puede darse en otro u otros países, que no sean precisamente el lugar de la constitución. Ejemplo: las llamadas sociedades off shore.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23.Sede Social: La ubicación donde funciona la sede social resolvería esta teoría, aclarándose que, existiendo dualidad de asientos, predomina aquel donde está instalada la dirección social sobre el lugar de explotación, desconociendo que en la actualidad la sede social puede o no ser el lugar donde se toman las decisiones.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24.Lugar o centro de explotación: La nacionalidad quedaría determinada por el lugar donde se desenvuelven las actividades sociales, en forma real y efectiva, pero no toma en cuenta que pueden existir varios centros de explotación, unos tan importantes como otros.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25.Propiedad del capital: Establece una relación entre la nacionalidad de los socios titulares del capital y la de la sociedad, pero está demás decir que el capital carece de nacionalidad.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26.Lugar de suscripción del capital: No contempla el caso de que sean muchos los países donde se realizan y colocan suscripciones.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26.1.Tesis negativas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Sostienen que la nacionalidad es un atributo de la personalidad física no jurídica, como la religión, el partido político, el estado civil, y por lo tanto las personas jurídicas carecen de dichos atributos.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Aunque esta tesis fue argumentada a fines del siglo XIX por Bernardo de Irigoyen, Ministro de Relaciones Exteriores de la República Argentina, tiene sus seguidores en la doctrina moderna, con Halperín, quién sostiene que la relación individuo-Estado no puede ser aplicada a las sociedades.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Aztiria, considera en el mismo sentido, que la conexión de una sociedad a un Estado, implica una sumisión a su cuerpo legal y no una verdadera nacionalidad.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discusión dogmática entre quienes sostienen si las sociedades poseen o no una auténtica nacionalidad ha sido felizmente superada, al observarse que dicho término no tiene exactamente el mismo significado cuando se emplea para las personas jurídicas que cuando se emplea para los individuos.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26.2.Tesis intermedia.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Considera tomar el término de nacionalidad en casos excepcionales, siempre y cuando el control económico sea el </w:t>
            </w:r>
            <w:r w:rsidRPr="001B7F27">
              <w:rPr>
                <w:rFonts w:ascii="Arial" w:eastAsia="Times New Roman" w:hAnsi="Arial" w:cs="Arial"/>
                <w:color w:val="003399"/>
                <w:sz w:val="17"/>
                <w:szCs w:val="17"/>
                <w:lang w:eastAsia="es-AR"/>
              </w:rPr>
              <w:lastRenderedPageBreak/>
              <w:t>elemento determinante para su aplicación.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26.3.Régimen de la nacionalidad en la República del Paraguay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 1196 del Código Civil dispone que las leyes del país del domicilio rigen en cuanto a su existencia y capacidad para las sociedades constituidas en el extranjero.</w:t>
            </w:r>
            <w:r w:rsidRPr="001B7F27">
              <w:rPr>
                <w:rFonts w:ascii="Arial" w:eastAsia="Times New Roman" w:hAnsi="Arial" w:cs="Arial"/>
                <w:color w:val="003399"/>
                <w:sz w:val="17"/>
                <w:szCs w:val="17"/>
                <w:lang w:eastAsia="es-AR"/>
              </w:rPr>
              <w:br/>
              <w:t>Esta disposición está en concordancia con el Tratado de Derecho Comercial Terrestre Internacional suscrito en Montevideo, en 1940 y ratificado por el Paraguay por Ley Nº 266/55.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la Convención Interamericana de sobre Conflictos de Leyes en materia de Sociedades Mercantiles, celebrada en Montevideo, en 1979 y ratificada por el Paraguay por Ley Nº 888/81, dispone que las sociedades se rigen por la ley del país de su constitución, considerando éste, aquél donde han cumplido los requisitos de fondo y forma para su funcionamiento.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art. 1199 del Código Civil, en concordancia con el art. 1196 del mismo cuerpo legal, establece: 'La sociedad constituida en el extranjero que tenga su domicilio en la República o cuyo principal objeto esté destinado a cumplirse en ella será considerada sociedad local a los efectos del cumplimiento de las formalidades de constitución o de su reforma o fiscalización en su caso'.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Ante la disparidad legislativa y, por la aplicación de los Principios de No contradicción de la Teoría General de la Norma y de Prelación de Leyes, rigen las disposiciones de la Convención Interamericana.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Constitución Nacional, en su art. 137, establece: 'DE LA SUPREMACÍA DE LA CONSTITUCIÓN. La Ley Suprema de la República es la Constitución. Ésta, los Tratados, Convenios y Acuerdos Internacionales, aprobados y ratificados, las Leyes dictadas por el Congreso y otras disposiciones jurídicas de inferior jerarquía, sancionadas en su consecuencia, integran el Derecho Positivo Nacional en el orden de prelación enunciado...(..)'.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27.CLASES DE SOCIEDADES SEGÚN LA LEGISLACIÓN PARAGUAYA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27.1.Sociedad Simple.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aquella que no tenga por objeto el ejercicio de una actividad comercial y no revista los caracteres de las otras regladas por el Código.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contrato de sociedad simple no está sujeto a forma especial alguna, salvo las exigidas por la naturaleza de los bienes aportados.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contrato social puede ser modificado solamente con el expreso consentimiento de todos los socios, si no se ha convenido otra cosa.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acreedores de la sociedad pueden hacer valer sus derechos sobre el patrimonio social. Por las obligaciones sociales responden también personal y solidariamente los socios que han obrado en nombre y por cuenta de la sociedad, pero otros socios sólo serán responsables hasta el límite de su aporte, salvo que expresamente se hayan obligado solidariamente.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27.2.Sociedad Colectiva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sociedad colectiva los socios contraen responsabilidad subsidiaria, ilimitada y solidaria, por las obligaciones sociales.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sociedad colectiva actúa bajo una razón social, constituida con el nombre de uno o varios de los socios, con inclusión de las palabras 'sociedad colectiva' o su abreviatura.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27.3.Sociedad en comandita.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Tiene dos clases de socios: los socios colectivos, que responden solidaria e ilimitadamente por las obligaciones sociales y los socios comanditarios, que responden de las mismas hasta el límite de sus aportes.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el capital de éstos, estuviese representado por acciones, la sociedad será considerada en comandita por acciones.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sociedad en comandita tiene razón social, constituida por el nombre de uno al menos de los socios colectivos, y las palabras 'y compañía' cuando en ella no figuren los nombres de todos los socios colectivos.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comanditarios, que consientan que sus nombres sean incluidos en la razón social, responderán respecto de </w:t>
            </w:r>
            <w:r w:rsidRPr="001B7F27">
              <w:rPr>
                <w:rFonts w:ascii="Arial" w:eastAsia="Times New Roman" w:hAnsi="Arial" w:cs="Arial"/>
                <w:color w:val="003399"/>
                <w:sz w:val="17"/>
                <w:szCs w:val="17"/>
                <w:lang w:eastAsia="es-AR"/>
              </w:rPr>
              <w:lastRenderedPageBreak/>
              <w:t>terceros, solidaria e ilimitadamente.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8.4. Sociedad Anónima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Su capital está dividido en acciones. La sociedad responde de las obligaciones sociales solo con su patrimonio. Por ello, su denominación, debe contener la indicación de ser sociedad anónima.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máxima autoridad es la Asamblea. Existen Asambleas Ordinarias y Extraordinarias. La Ley dispone cuáles son los asuntos de competencia de cada una de ellas.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la dirección, administración y representación, se delega, según las leyes del mandato, en uno o más Directores, designados por la Asamblea Ordinaria, cuando no lo hubiesen sido en el acto constitutivo.</w:t>
            </w:r>
            <w:r w:rsidRPr="001B7F27">
              <w:rPr>
                <w:rFonts w:ascii="Arial" w:eastAsia="Times New Roman" w:hAnsi="Arial" w:cs="Arial"/>
                <w:color w:val="003399"/>
                <w:sz w:val="17"/>
                <w:szCs w:val="17"/>
                <w:lang w:eastAsia="es-AR"/>
              </w:rPr>
              <w:br/>
              <w:t>Estos responden solidariamente e ilimitadamente ante la sociedad, accionistas y terceros por la inejecución o mal desempeño del mandato, por violación de la ley, de los estatutos y por cualquier otro perjuicio ocasionado por dolo, abuso de facultades o culpa grave.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fiscalización de la dirección y administración, está a cargo de uno o más síndicos, titulares y suplentes, con carácter personal e indelegable.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Dentro de este tipo de sociedades, nuestra legislación reconoce, en virtud de leyes posteriores, otros subtipos: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28.Sociedad Anónima Emisora, es la que tiene autorización para emitir y colocar o vender, utilizar como garantía o cualquier otra negociación en el mercado, títulos valores destinados a oferta pública, regulada por la Ley Nº 94/1991 y la Ley Nº 210/1993</w:t>
            </w:r>
            <w:r w:rsidRPr="001B7F27">
              <w:rPr>
                <w:rFonts w:ascii="Arial" w:eastAsia="Times New Roman" w:hAnsi="Arial" w:cs="Arial"/>
                <w:color w:val="003399"/>
                <w:sz w:val="17"/>
                <w:szCs w:val="17"/>
                <w:lang w:eastAsia="es-AR"/>
              </w:rPr>
              <w:br/>
              <w:t>29.Sociedad Anónima Emisora de Capital Abierto, es aquella en la que por lo menos 50 (cincuenta) personas son titulares de acciones ordinarias y/o preferidas que representen por lo menos el 20% (veinte por ciento) del capital integrado. Para determinar ese porcentaje no se computarán los accionistas que individualmente, tuvieren la propiedad de menos del 0,40% (cero cuarenta por ciento) del capital integrado.</w:t>
            </w:r>
            <w:r w:rsidRPr="001B7F27">
              <w:rPr>
                <w:rFonts w:ascii="Arial" w:eastAsia="Times New Roman" w:hAnsi="Arial" w:cs="Arial"/>
                <w:color w:val="003399"/>
                <w:sz w:val="17"/>
                <w:szCs w:val="17"/>
                <w:lang w:eastAsia="es-AR"/>
              </w:rPr>
              <w:br/>
              <w:t>La Autoridad -Comisión Nacional de Valores- está facultada a modificar hasta el 50% (cincuenta por ciento) de los porcentajes y cantidades señalados, según lo hagan aconsejable las condiciones existentes en el mercado y podrá otorgar, mediante disposiciones de carácter general hasta un año de plazo para el cumplimiento de los nuevos requisitos.</w:t>
            </w:r>
            <w:r w:rsidRPr="001B7F27">
              <w:rPr>
                <w:rFonts w:ascii="Arial" w:eastAsia="Times New Roman" w:hAnsi="Arial" w:cs="Arial"/>
                <w:color w:val="003399"/>
                <w:sz w:val="17"/>
                <w:szCs w:val="17"/>
                <w:lang w:eastAsia="es-AR"/>
              </w:rPr>
              <w:br/>
              <w:t xml:space="preserve">También podrá conceder inscripción provisoria por el plazo máximo de un año, para posibilitar el cumplimiento de los aludidos requisitos. Está regulada por la Ley Nº 210/1993. </w:t>
            </w:r>
            <w:r w:rsidRPr="001B7F27">
              <w:rPr>
                <w:rFonts w:ascii="Arial" w:eastAsia="Times New Roman" w:hAnsi="Arial" w:cs="Arial"/>
                <w:color w:val="003399"/>
                <w:sz w:val="17"/>
                <w:szCs w:val="17"/>
                <w:lang w:eastAsia="es-AR"/>
              </w:rPr>
              <w:br/>
              <w:t>30.Bancos y Financieras. Su capital debe estar representado por acciones nominativas, salvo cuando se trate de una entidad creada por una ley específica o de sucursales de bancos del exterior. Para su inscripción en el Registro de Personas Jurídicas, debe haber autorización por el Banco Central del Paraguay.</w:t>
            </w:r>
            <w:r w:rsidRPr="001B7F27">
              <w:rPr>
                <w:rFonts w:ascii="Arial" w:eastAsia="Times New Roman" w:hAnsi="Arial" w:cs="Arial"/>
                <w:color w:val="003399"/>
                <w:sz w:val="17"/>
                <w:szCs w:val="17"/>
                <w:lang w:eastAsia="es-AR"/>
              </w:rPr>
              <w:br/>
              <w:t>Se fija como capital mínimo integrado, aportado en efectivo y que obligatoriamente deberán mantener: Bancos: Gs. 10.000.000.000 (Guaraníes diez mil millones); Financieras y Sociedades del Sistema de Ahorro y Préstamo para la Vivienda: Gs. 5.000.000.000 (Guaraníes cinco mil millones). Las cifras se actualizarán anualmente en función al I.P.C. (Índice de Precios al Consumidor). Les rige la Ley de Bancos Nº 861/1996.</w:t>
            </w:r>
            <w:r w:rsidRPr="001B7F27">
              <w:rPr>
                <w:rFonts w:ascii="Arial" w:eastAsia="Times New Roman" w:hAnsi="Arial" w:cs="Arial"/>
                <w:color w:val="003399"/>
                <w:sz w:val="17"/>
                <w:szCs w:val="17"/>
                <w:lang w:eastAsia="es-AR"/>
              </w:rPr>
              <w:br/>
              <w:t>31.Seguros, son transacciones comerciales, basadas en convenios o contratos por los cuales una parte denominada asegurador o fiador, se obliga a indemnizar a otra parte denominada tomador o asegurado, o a una tercera persona denominada beneficiario, por daño o perjuicio o pérdida causada por algún azar, accidente o peligro especificado o indicado a la persona, intereses o bienes de la segunda parte contratante, su beneficiario, su cesionario, su causahabiente o similar, a cambio del pago de una suma estipulada. Solo pueden realizar operaciones de seguros las sociedades anónimas. Están regidos por la Ley Nº 827/1996.</w:t>
            </w:r>
            <w:r w:rsidRPr="001B7F27">
              <w:rPr>
                <w:rFonts w:ascii="Arial" w:eastAsia="Times New Roman" w:hAnsi="Arial" w:cs="Arial"/>
                <w:color w:val="003399"/>
                <w:sz w:val="17"/>
                <w:szCs w:val="17"/>
                <w:lang w:eastAsia="es-AR"/>
              </w:rPr>
              <w:br/>
              <w:t>32.Sociedades Fiduciarias. Por el negocio fiduciario, una persona llamada fiduciante, fideicomitente o constituyente, entrega a otra, llamada fiduciario, uno o más bienes especificados, transfiriéndoles o no la propiedad de los mismos, con el propósito de que ésta los administre o enajene y cumpla con ellos una determinada finalidad sea en provecho de aquella misma o de un tercero llamado fideicomisario o fiduciario.</w:t>
            </w:r>
            <w:r w:rsidRPr="001B7F27">
              <w:rPr>
                <w:rFonts w:ascii="Arial" w:eastAsia="Times New Roman" w:hAnsi="Arial" w:cs="Arial"/>
                <w:color w:val="003399"/>
                <w:sz w:val="17"/>
                <w:szCs w:val="17"/>
                <w:lang w:eastAsia="es-AR"/>
              </w:rPr>
              <w:br/>
              <w:t>Solamente podrán tener calidad de fiduciarios los bancos y empresas financieras y las empresas fiduciarias especialmente autorizadas por el Banco Central del Paraguay. En ningún caso el fiduciario podrá reunir la calidad de fideicomitente o de beneficiario de un negocio fiduciario.</w:t>
            </w:r>
            <w:r w:rsidRPr="001B7F27">
              <w:rPr>
                <w:rFonts w:ascii="Arial" w:eastAsia="Times New Roman" w:hAnsi="Arial" w:cs="Arial"/>
                <w:color w:val="003399"/>
                <w:sz w:val="17"/>
                <w:szCs w:val="17"/>
                <w:lang w:eastAsia="es-AR"/>
              </w:rPr>
              <w:br/>
              <w:t>Están regidas por la Ley Nº 921/1996.</w:t>
            </w:r>
            <w:r w:rsidRPr="001B7F27">
              <w:rPr>
                <w:rFonts w:ascii="Arial" w:eastAsia="Times New Roman" w:hAnsi="Arial" w:cs="Arial"/>
                <w:color w:val="003399"/>
                <w:sz w:val="17"/>
                <w:szCs w:val="17"/>
                <w:lang w:eastAsia="es-AR"/>
              </w:rPr>
              <w:br/>
              <w:t>33.Sociedades Securitizadoras. Tienen por objeto exclusivo la adquisición de carteras de créditos hipotecarios o los que constan en letras hipotecarias y mutuos hipotecarios endosables, y la emisión, sobre dichas carteras de créditos, de títulos de deuda de oferta pública a corto, mediano y largo plazo. Deben constituirse en forma de sociedades anónimas, emitir exclusivamente acciones nominativas, no pueden dedicarse a ninguna otra actividad, deben incluir en su denominación social la expresión 'securitizadora' y tener un capital integrado en dinero efectivo no menor a Gs. 1.000.000.000 (Guaraníes mil millones), valor que debe mantenerse constante y actualizado.</w:t>
            </w:r>
            <w:r w:rsidRPr="001B7F27">
              <w:rPr>
                <w:rFonts w:ascii="Arial" w:eastAsia="Times New Roman" w:hAnsi="Arial" w:cs="Arial"/>
                <w:color w:val="003399"/>
                <w:sz w:val="17"/>
                <w:szCs w:val="17"/>
                <w:lang w:eastAsia="es-AR"/>
              </w:rPr>
              <w:br/>
              <w:t>Están regidas por la Ley Nº 1036/1997.</w:t>
            </w:r>
            <w:r w:rsidRPr="001B7F27">
              <w:rPr>
                <w:rFonts w:ascii="Arial" w:eastAsia="Times New Roman" w:hAnsi="Arial" w:cs="Arial"/>
                <w:color w:val="003399"/>
                <w:sz w:val="17"/>
                <w:szCs w:val="17"/>
                <w:lang w:eastAsia="es-AR"/>
              </w:rPr>
              <w:br/>
              <w:t>34.Sociedades Calificadoras de Riesgo. Tienen por objeto exclusivo la calificación del riesgo de las acciones o cualquier otro título valor, sujetos o no al régimen de la oferta pública, por medio de un proceso de análisis y evaluación de la solvencia del emisor y las posibilidades de recuperación de las inversiones.</w:t>
            </w:r>
            <w:r w:rsidRPr="001B7F27">
              <w:rPr>
                <w:rFonts w:ascii="Arial" w:eastAsia="Times New Roman" w:hAnsi="Arial" w:cs="Arial"/>
                <w:color w:val="003399"/>
                <w:sz w:val="17"/>
                <w:szCs w:val="17"/>
                <w:lang w:eastAsia="es-AR"/>
              </w:rPr>
              <w:br/>
              <w:t xml:space="preserve">Deben constituirse como sociedades anónimas, emitir únicamente acciones nominativas, tener capital integrado en </w:t>
            </w:r>
            <w:r w:rsidRPr="001B7F27">
              <w:rPr>
                <w:rFonts w:ascii="Arial" w:eastAsia="Times New Roman" w:hAnsi="Arial" w:cs="Arial"/>
                <w:color w:val="003399"/>
                <w:sz w:val="17"/>
                <w:szCs w:val="17"/>
                <w:lang w:eastAsia="es-AR"/>
              </w:rPr>
              <w:lastRenderedPageBreak/>
              <w:t>dinero efectivo (no menor) a U$A 125.000 (Dólares Americanos ciento veinte y cinco mil) o su equivalente en moneda nacional. La Comisión puede exigir márgenes de capital superior, mediante normas de carácter general. Están regidas por la Ley Nº 1056/1997.</w:t>
            </w:r>
            <w:r w:rsidRPr="001B7F27">
              <w:rPr>
                <w:rFonts w:ascii="Arial" w:eastAsia="Times New Roman" w:hAnsi="Arial" w:cs="Arial"/>
                <w:color w:val="003399"/>
                <w:sz w:val="17"/>
                <w:szCs w:val="17"/>
                <w:lang w:eastAsia="es-AR"/>
              </w:rPr>
              <w:br/>
              <w:t>35.Sociedades de Locación, Arrendamiento o Leasing Financiero. Deben constituirse bajo la forma de sociedades anónimas, agregando a su nombre la expresión 'Sociedad Anónima de Locación Financiera o Sociedad Anónima de Leasing Financiero'.</w:t>
            </w:r>
            <w:r w:rsidRPr="001B7F27">
              <w:rPr>
                <w:rFonts w:ascii="Arial" w:eastAsia="Times New Roman" w:hAnsi="Arial" w:cs="Arial"/>
                <w:color w:val="003399"/>
                <w:sz w:val="17"/>
                <w:szCs w:val="17"/>
                <w:lang w:eastAsia="es-AR"/>
              </w:rPr>
              <w:br/>
              <w:t>Su capital debe estar representado por acciones nominativas y su objeto social deberá estar limitado a la realización de operaciones de arrendamiento financiero y mercantil.</w:t>
            </w:r>
            <w:r w:rsidRPr="001B7F27">
              <w:rPr>
                <w:rFonts w:ascii="Arial" w:eastAsia="Times New Roman" w:hAnsi="Arial" w:cs="Arial"/>
                <w:color w:val="003399"/>
                <w:sz w:val="17"/>
                <w:szCs w:val="17"/>
                <w:lang w:eastAsia="es-AR"/>
              </w:rPr>
              <w:br/>
              <w:t>La solicitud de dichas sociedades en el Registro de Personas Jurídicas y Asociaciones debe presentarse acompañando una copia auténtica de la autorización otorgada por el Banco Central del Paraguay, salvo que la misma haya sido transcripta en la escritura pública de constitución de la respectiva sociedad anónima.</w:t>
            </w:r>
            <w:r w:rsidRPr="001B7F27">
              <w:rPr>
                <w:rFonts w:ascii="Arial" w:eastAsia="Times New Roman" w:hAnsi="Arial" w:cs="Arial"/>
                <w:color w:val="003399"/>
                <w:sz w:val="17"/>
                <w:szCs w:val="17"/>
                <w:lang w:eastAsia="es-AR"/>
              </w:rPr>
              <w:br/>
              <w:t>El capital mínimo es Gs. 750.000.000 (Guaraníes setecientos cincuenta millones), valor mantenido y actualizado anualmente en función del Índice de Precios al Consumidor.</w:t>
            </w:r>
            <w:r w:rsidRPr="001B7F27">
              <w:rPr>
                <w:rFonts w:ascii="Arial" w:eastAsia="Times New Roman" w:hAnsi="Arial" w:cs="Arial"/>
                <w:color w:val="003399"/>
                <w:sz w:val="17"/>
                <w:szCs w:val="17"/>
                <w:lang w:eastAsia="es-AR"/>
              </w:rPr>
              <w:br/>
              <w:t>El contrato obliga al dador a arrendar al tomador un inmueble edificado de su propiedad o un bien mueble no fungible, o un inmueble edificado de propiedad de un tercero, especificado por el tomador, de quien se obliga a adquirir o a ser adquirido, con el único propósito de arrendarlo al tomador a cambio de una contraprestación a cargo de éste consistente en el pago de una suma de dinero establecida en cuotas pagaderas periódicamente y que contemple una opción de compra irrevocable a favor del tomador a la conclusión del arrendamiento, por un precio residual que será libremente acordado entre las partes. Tanto la sociedad como el contrato están regulados por la Ley Nº 1295/1998.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35.1.Sociedad de Capital e Industria (regida por la Ley Nº 117/93)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Establece dos categorías de socios: los que aportan su trabajo, al que se le debe atribuir un valor que será equivalente al promedio de remuneraciones abonadas por servicios iguales o similares al tiempo de constitución de la sociedad, fijado por un plazo determinado de trabajo o por un número de piezas a producir y los socios capitalistas que aportan dinero o bienes en especie. Ambos responden solamente hasta el valor de los bienes aportados.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sociedad tiene razón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puede realizar operaciones de bancos, capitalización, ahorro, de seguros ni otro objeto para el que las leyes exigen una forma determinada de sociedad.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35.2.Sociedad de Responsabilidad Limitada.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rige por el Código Civil y por el Decreto-Ley Nº 10268/1941.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responsabilidad de los socios está, como lo indica el nombre, limitada al monto de sus aportes.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capital se divide en cuotas que no son libremente cesibles a terceros: si los socios son cinco o menos, se requiere unanimidad. Si son más, se exige el consentimiento de socios que representen las 3/4 (tres cuartas) partes del capital.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cesión entre socios es libre, salvo disposición en contrario del acto constitutivo.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cuotas deben tener valor de Gs. 1000 (Guaraníes mil). o múltiplos y los socios no serán más de 25 (veinte y cinco).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podrá realizar operaciones de banco, seguro, capitalización ni ahorro.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capital debe estar íntegramente suscrito al constituirse la sociedad. Si se tratase de aportes en dinero, debe integrarse como mínimo el 50% (cincuenta por ciento) y completarse en un plazo de 2 (dos) años.</w:t>
            </w:r>
            <w:r w:rsidRPr="001B7F27">
              <w:rPr>
                <w:rFonts w:ascii="Arial" w:eastAsia="Times New Roman" w:hAnsi="Arial" w:cs="Arial"/>
                <w:color w:val="003399"/>
                <w:sz w:val="17"/>
                <w:szCs w:val="17"/>
                <w:lang w:eastAsia="es-AR"/>
              </w:rPr>
              <w:br/>
              <w:t>Exige depósito bancario del capital integrado en el Banco Central mientras dure el trámite inscriptivo.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denominación debe contener los términos 'sociedad de responsabilidad limitada' o la sigla 'S.R.L.'. Su omisión hará responsable al gerente por los actos que celebre en esas condiciones.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cambio de objeto, transformación, fusión y toda otra modificación que imponga mayor responsabilidad a los socios, deberá resolverse por unanimidad de votos.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el contrato social no determina la forma de deliberar y tomar acuerdos por los socios, se aplicarán supletoriamente las normas sobre asambleas de las sociedades anónimas, salvo en lo referente al procedimiento para la convocatoria, que se notificará personalmente a los socios.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36.TRANSFORMACIÓN Y FUSIÓN DE LAS SOCIEDADES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Cualquier sociedad puede adoptar otro de los tipos previstos sin disolverse ni afectar los derechos ni obligaciones existentes, por medio de su transformación.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paraguaya prevé, también, que dos o más sociedades se disuelvan sin liquidarse, ya sea para constituir una nueva, ya para que una de ella absorba a otra u otras, que se disuelven sin liquidarse. En esto consiste la fusión.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nueva sociedad, o la absorbente, se convierte en titular de los derechos y obligaciones de las disueltas desde que se formalice el acuerdo de fusión. Dicho acuerdo será oponible a terceros desde su registro, previa aprobación del cambio o modificación del estatuto de la sociedad anónima, afectada por la fusión.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37.RÉGIMEN DE INSCRIPCIONES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personas jurídicas de Derecho Privado deben inscribirse en el Registro de Personas Jurídicas y Asociaciones como requisito para su existencia y funcionamiento.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sociedades de carácter comercial, exigen a su vez la inscripción en el Registro Público de Comercio a efectos de su matriculación como comerciantes.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Aunque ambos registros están hoy muy bien definidos en cuanto a su competencia, en épocas pasadas, no fue así. El primero es de mucho más reciente creación, 1981, implementado en 1987. El segundo data de 1903.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ello, existen leyes, como el Decreto-Ley Nº 10268, del año 1941 que concede personalidad jurídica a las S.R.L. con la inscripción en el Registro Público de Comercio.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conveniente para estos casos la correcta aplicación del Principio Constitucional de Irretroactividad de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11. RÉGIMEN DE SOCIEDADES EN EL CAMPO DEL DERECHO INTERNACIONAL PRIVADO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sociedad constituida en el extranjero, que tenga su domicilio en la República o cuyo principal objeto esté destinado a cumplirse en ella, será considerada como sociedad local a los efectos del cumplimiento de las formalidades de constitución, de su reforma o fiscalización.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Aunque el tipo de sociedad no esté previsto en nuestra legislación, las sociedades constituidas en el extranjero, a las que se hace mención en el párrafo precedente, se regirán por las leyes paraguayas.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juez competente para la inscripción determinará las formalidades a cumplir en cada caso.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representantes contraen las mismas responsabilidades que los administradores de las sociedades constituidas en la República, y, tratándose de sociedades no reguladas por el Código, sus responsabilidades serán las de los administradores de las sociedades anónimas.</w:t>
            </w:r>
          </w:p>
          <w:p w:rsidR="001B7F27" w:rsidRPr="001B7F27" w:rsidRDefault="001B7F27" w:rsidP="001B7F27">
            <w:pPr>
              <w:spacing w:before="100" w:beforeAutospacing="1" w:after="240"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38.Legislación paraguaya y extranjera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39.Código Civil Paraguayo</w:t>
            </w:r>
            <w:r w:rsidRPr="001B7F27">
              <w:rPr>
                <w:rFonts w:ascii="Arial" w:eastAsia="Times New Roman" w:hAnsi="Arial" w:cs="Arial"/>
                <w:color w:val="003399"/>
                <w:sz w:val="17"/>
                <w:szCs w:val="17"/>
                <w:lang w:eastAsia="es-AR"/>
              </w:rPr>
              <w:br/>
              <w:t>40.Constitución Nacional de la República del Paraguay</w:t>
            </w:r>
            <w:r w:rsidRPr="001B7F27">
              <w:rPr>
                <w:rFonts w:ascii="Arial" w:eastAsia="Times New Roman" w:hAnsi="Arial" w:cs="Arial"/>
                <w:color w:val="003399"/>
                <w:sz w:val="17"/>
                <w:szCs w:val="17"/>
                <w:lang w:eastAsia="es-AR"/>
              </w:rPr>
              <w:br/>
              <w:t>41.Código de Comercio de la República Argentina, adoptado por el Paraguay en 1903</w:t>
            </w:r>
            <w:r w:rsidRPr="001B7F27">
              <w:rPr>
                <w:rFonts w:ascii="Arial" w:eastAsia="Times New Roman" w:hAnsi="Arial" w:cs="Arial"/>
                <w:color w:val="003399"/>
                <w:sz w:val="17"/>
                <w:szCs w:val="17"/>
                <w:lang w:eastAsia="es-AR"/>
              </w:rPr>
              <w:br/>
              <w:t>42.Convención Interamericana sobre conflictos de leyes en materia de sociedades mercantiles (CIDIP II - Montevideo 1979)</w:t>
            </w:r>
            <w:r w:rsidRPr="001B7F27">
              <w:rPr>
                <w:rFonts w:ascii="Arial" w:eastAsia="Times New Roman" w:hAnsi="Arial" w:cs="Arial"/>
                <w:color w:val="003399"/>
                <w:sz w:val="17"/>
                <w:szCs w:val="17"/>
                <w:lang w:eastAsia="es-AR"/>
              </w:rPr>
              <w:br/>
              <w:t>43.Tratado de Derecho Comercial Terrestre Internacional (Montevideo, 1940)</w:t>
            </w:r>
            <w:r w:rsidRPr="001B7F27">
              <w:rPr>
                <w:rFonts w:ascii="Arial" w:eastAsia="Times New Roman" w:hAnsi="Arial" w:cs="Arial"/>
                <w:color w:val="003399"/>
                <w:sz w:val="17"/>
                <w:szCs w:val="17"/>
                <w:lang w:eastAsia="es-AR"/>
              </w:rPr>
              <w:br/>
              <w:t>44.Ley Nº 438/1994, De Cooperativas</w:t>
            </w:r>
            <w:r w:rsidRPr="001B7F27">
              <w:rPr>
                <w:rFonts w:ascii="Arial" w:eastAsia="Times New Roman" w:hAnsi="Arial" w:cs="Arial"/>
                <w:color w:val="003399"/>
                <w:sz w:val="17"/>
                <w:szCs w:val="17"/>
                <w:lang w:eastAsia="es-AR"/>
              </w:rPr>
              <w:br/>
              <w:t>45.Ley Nº 214/1993, Que establece la Carta Orgánica del Gobierno Departamental</w:t>
            </w:r>
            <w:r w:rsidRPr="001B7F27">
              <w:rPr>
                <w:rFonts w:ascii="Arial" w:eastAsia="Times New Roman" w:hAnsi="Arial" w:cs="Arial"/>
                <w:color w:val="003399"/>
                <w:sz w:val="17"/>
                <w:szCs w:val="17"/>
                <w:lang w:eastAsia="es-AR"/>
              </w:rPr>
              <w:br/>
              <w:t>46.Ley Nº 1328/1998, De Derecho de Autor y Derechos Conexos</w:t>
            </w:r>
            <w:r w:rsidRPr="001B7F27">
              <w:rPr>
                <w:rFonts w:ascii="Arial" w:eastAsia="Times New Roman" w:hAnsi="Arial" w:cs="Arial"/>
                <w:color w:val="003399"/>
                <w:sz w:val="17"/>
                <w:szCs w:val="17"/>
                <w:lang w:eastAsia="es-AR"/>
              </w:rPr>
              <w:br/>
              <w:t>47.Ley Nº 834/1996, Que establece el Código Electoral Paraguayo</w:t>
            </w:r>
            <w:r w:rsidRPr="001B7F27">
              <w:rPr>
                <w:rFonts w:ascii="Arial" w:eastAsia="Times New Roman" w:hAnsi="Arial" w:cs="Arial"/>
                <w:color w:val="003399"/>
                <w:sz w:val="17"/>
                <w:szCs w:val="17"/>
                <w:lang w:eastAsia="es-AR"/>
              </w:rPr>
              <w:br/>
              <w:t>48.Ley Nº 1056/1997, Que crea y regula las Sociedades Calificadoras de Riesgo</w:t>
            </w:r>
            <w:r w:rsidRPr="001B7F27">
              <w:rPr>
                <w:rFonts w:ascii="Arial" w:eastAsia="Times New Roman" w:hAnsi="Arial" w:cs="Arial"/>
                <w:color w:val="003399"/>
                <w:sz w:val="17"/>
                <w:szCs w:val="17"/>
                <w:lang w:eastAsia="es-AR"/>
              </w:rPr>
              <w:br/>
              <w:t>49.Ley Nº 1036/1997, Que crea y regula las Sociedades Securitizadoras</w:t>
            </w:r>
            <w:r w:rsidRPr="001B7F27">
              <w:rPr>
                <w:rFonts w:ascii="Arial" w:eastAsia="Times New Roman" w:hAnsi="Arial" w:cs="Arial"/>
                <w:color w:val="003399"/>
                <w:sz w:val="17"/>
                <w:szCs w:val="17"/>
                <w:lang w:eastAsia="es-AR"/>
              </w:rPr>
              <w:br/>
              <w:t>50.Ley Nº 921/1996, De Negocios Fiduciarios</w:t>
            </w:r>
            <w:r w:rsidRPr="001B7F27">
              <w:rPr>
                <w:rFonts w:ascii="Arial" w:eastAsia="Times New Roman" w:hAnsi="Arial" w:cs="Arial"/>
                <w:color w:val="003399"/>
                <w:sz w:val="17"/>
                <w:szCs w:val="17"/>
                <w:lang w:eastAsia="es-AR"/>
              </w:rPr>
              <w:br/>
              <w:t>51.Ley Nº 827/1996, De Seguros</w:t>
            </w:r>
            <w:r w:rsidRPr="001B7F27">
              <w:rPr>
                <w:rFonts w:ascii="Arial" w:eastAsia="Times New Roman" w:hAnsi="Arial" w:cs="Arial"/>
                <w:color w:val="003399"/>
                <w:sz w:val="17"/>
                <w:szCs w:val="17"/>
                <w:lang w:eastAsia="es-AR"/>
              </w:rPr>
              <w:br/>
              <w:t>52.Ley Nº 861/1996, General de Bancos, Financieras y Otras Entidades de Crédito</w:t>
            </w:r>
            <w:r w:rsidRPr="001B7F27">
              <w:rPr>
                <w:rFonts w:ascii="Arial" w:eastAsia="Times New Roman" w:hAnsi="Arial" w:cs="Arial"/>
                <w:color w:val="003399"/>
                <w:sz w:val="17"/>
                <w:szCs w:val="17"/>
                <w:lang w:eastAsia="es-AR"/>
              </w:rPr>
              <w:br/>
              <w:t>53.Ley Nº 210/1993, Que modifica y amplia disposiciones legales que establecen incentivos fiscales para el mercado de capitales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54.Ley Nº 117/1993, Que regula las Sociedades de Capital e Industria</w:t>
            </w:r>
            <w:r w:rsidRPr="001B7F27">
              <w:rPr>
                <w:rFonts w:ascii="Arial" w:eastAsia="Times New Roman" w:hAnsi="Arial" w:cs="Arial"/>
                <w:color w:val="003399"/>
                <w:sz w:val="17"/>
                <w:szCs w:val="17"/>
                <w:lang w:eastAsia="es-AR"/>
              </w:rPr>
              <w:br/>
              <w:t>55.Ley Nº 388/1994, Que establece disposiciones sobre la constitución de Sociedades Anónimas y Modifica Artículos del Código Civil</w:t>
            </w:r>
            <w:r w:rsidRPr="001B7F27">
              <w:rPr>
                <w:rFonts w:ascii="Arial" w:eastAsia="Times New Roman" w:hAnsi="Arial" w:cs="Arial"/>
                <w:color w:val="003399"/>
                <w:sz w:val="17"/>
                <w:szCs w:val="17"/>
                <w:lang w:eastAsia="es-AR"/>
              </w:rPr>
              <w:br/>
              <w:t>56.Decreto-Ley Nº 10268/1941, Sobre Sociedades de Responsabilidad Limitada</w:t>
            </w:r>
            <w:r w:rsidRPr="001B7F27">
              <w:rPr>
                <w:rFonts w:ascii="Arial" w:eastAsia="Times New Roman" w:hAnsi="Arial" w:cs="Arial"/>
                <w:color w:val="003399"/>
                <w:sz w:val="17"/>
                <w:szCs w:val="17"/>
                <w:lang w:eastAsia="es-AR"/>
              </w:rPr>
              <w:br/>
              <w:t>57.Ley Nº 1295/1998, De Locación, Arrendamiento o Leasing Financiero y Mercantil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Textos jurídicos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58.AGUILAR BENÍTEZ DE LUGO, Mariano y otros. Lecciones de Derecho Civil Internacional. Editorial Tecnos. Madrid, 1996 </w:t>
            </w:r>
            <w:r w:rsidRPr="001B7F27">
              <w:rPr>
                <w:rFonts w:ascii="Arial" w:eastAsia="Times New Roman" w:hAnsi="Arial" w:cs="Arial"/>
                <w:color w:val="003399"/>
                <w:sz w:val="17"/>
                <w:szCs w:val="17"/>
                <w:lang w:eastAsia="es-AR"/>
              </w:rPr>
              <w:br/>
              <w:t>59.BORDA, Guillermo A. Tratado de Derecho Civil Argentino. Contratos II. Editorial Perrot. Buenos Aires, 1962</w:t>
            </w:r>
            <w:r w:rsidRPr="001B7F27">
              <w:rPr>
                <w:rFonts w:ascii="Arial" w:eastAsia="Times New Roman" w:hAnsi="Arial" w:cs="Arial"/>
                <w:color w:val="003399"/>
                <w:sz w:val="17"/>
                <w:szCs w:val="17"/>
                <w:lang w:eastAsia="es-AR"/>
              </w:rPr>
              <w:br/>
              <w:t xml:space="preserve">60.CALVO CARAVACA, Alfonso Luis y otros. Derecho Internacional Privado. Volumen II. Editorial Comares. Granada, 1998 </w:t>
            </w:r>
            <w:r w:rsidRPr="001B7F27">
              <w:rPr>
                <w:rFonts w:ascii="Arial" w:eastAsia="Times New Roman" w:hAnsi="Arial" w:cs="Arial"/>
                <w:color w:val="003399"/>
                <w:sz w:val="17"/>
                <w:szCs w:val="17"/>
                <w:lang w:eastAsia="es-AR"/>
              </w:rPr>
              <w:br/>
              <w:t>61.SALVAT, Raymundo M. Tratado de Derecho Civil Argentino. Parte General. Tipográfica Editora Argentina. Buenos Aires, 1964</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4"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after="0" w:line="240" w:lineRule="auto"/>
              <w:rPr>
                <w:rFonts w:ascii="Arial" w:eastAsia="Times New Roman" w:hAnsi="Arial" w:cs="Arial"/>
                <w:color w:val="003399"/>
                <w:sz w:val="17"/>
                <w:szCs w:val="17"/>
                <w:lang w:eastAsia="es-AR"/>
              </w:rPr>
            </w:pPr>
            <w:bookmarkStart w:id="21" w:name="21"/>
            <w:bookmarkEnd w:id="21"/>
            <w:r w:rsidRPr="001B7F27">
              <w:rPr>
                <w:rFonts w:ascii="Arial" w:eastAsia="Times New Roman" w:hAnsi="Arial" w:cs="Arial"/>
                <w:b/>
                <w:bCs/>
                <w:color w:val="009933"/>
                <w:sz w:val="20"/>
                <w:szCs w:val="20"/>
                <w:lang w:eastAsia="es-AR"/>
              </w:rPr>
              <w:t>"La colisión del Artículo 36 y concordantes del Código Civil y otras leyes complementarias en el marco de la Convención Internacional sobre los Derechos del Niño"</w:t>
            </w:r>
            <w:r w:rsidRPr="001B7F27">
              <w:rPr>
                <w:rFonts w:ascii="Arial" w:eastAsia="Times New Roman" w:hAnsi="Arial" w:cs="Arial"/>
                <w:color w:val="003399"/>
                <w:sz w:val="17"/>
                <w:szCs w:val="17"/>
                <w:lang w:eastAsia="es-AR"/>
              </w:rPr>
              <w:br/>
              <w:t>Irma Alfonso de Bogarín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 xml:space="preserve">Derecho de la niñez y adolescencia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5"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hombres son iguales por naturaleza, no quiero que se me entienda que estoy refiriéndome a toda clase de igualdad. La edad o la virtud pueden dar a los hombres justa precedencia...</w:t>
            </w:r>
            <w:r w:rsidRPr="001B7F27">
              <w:rPr>
                <w:rFonts w:ascii="Arial" w:eastAsia="Times New Roman" w:hAnsi="Arial" w:cs="Arial"/>
                <w:color w:val="003399"/>
                <w:sz w:val="17"/>
                <w:szCs w:val="17"/>
                <w:lang w:eastAsia="es-AR"/>
              </w:rPr>
              <w:br/>
              <w:t xml:space="preserve">Los niños, debo confesarlo, no nacen en este estado de igualdad, si bien a él están destinados. Sus padres tienen una suerte de jurisdicción de dirección cuando vienen al mundo y también durante algún tiempo después; pero se trata solamente de algo transitorio. Los lazos de esta sujeción son como los refajos en que son envueltos los recin nacidos a fin de darles soporte durante el tiempo de su infancia en que son más débiles; la edad y la razón a medida que van creciendo, aflojan esas ataduras hasta que por fin los deshacen del todo y queda el hombre en disposición de decidir libremente por sí mismo.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John Locke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duda alguna la promulgación del Código de la Niñez y la Adolescencia marca un paso importante en el cumplimiento asumido por nuestro país al ratificar la Convención Internacional sobre los Derechos del Niño de adecuar la legislación interna2 al espíritu y texto de la normativa internacional y supone uno de los logros más importantes a favor de la niñez paraguaya.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Lastimosamente, la Ley 1702/01 que tiene por finalidad la correcta interpretación y aplicación de las normas relativas a la niñez y la adolescencia, introduce otra franja etaria: 'Menor adulto' que con el art. 36 del Código Civil acarrean interpretaciones disímiles por lo que presento este trabajo, en la convicción de que en materia jurídica no hay ni es bueno que existan posiciones absolutamente coincidentes pues el derecho y la ciencia se enriquecen con la pluralidad de perspectivas. Eso sí, el Código requiere apertura mental para comprender los cambios revolucionarios sobre la visión de la Infancia basada en el nuevo paradigma: 'La Doctrina de la Protección Integral'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PLANTEO</w:t>
            </w:r>
            <w:r w:rsidRPr="001B7F27">
              <w:rPr>
                <w:rFonts w:ascii="Arial" w:eastAsia="Times New Roman" w:hAnsi="Arial" w:cs="Arial"/>
                <w:color w:val="003399"/>
                <w:sz w:val="17"/>
                <w:szCs w:val="17"/>
                <w:lang w:eastAsia="es-AR"/>
              </w:rPr>
              <w:br/>
              <w:t>La Convención Internacional sobre los Derechos del Niño en su artículo 1º dice: 'Para los efectos de la presente Convención, se entiende por niño todo ser humano menor de dieciocho años de edad, salvo que, en virtud de la ley le sea aplicable, haya alcanzado antes la mayoría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artículo 36 del Código Civil señala: 'DE LA CAPACIDAD E INCAPACIDAD DE HECHO: La capacidad de hecho consiste en la aptitud legal de ejercer uno por sí mismo o por sí solo sus derechos. Este Código reputa plenamente capaz a todo ser humano que haya cumplido veinte años de edad y no haya sido declarado incapaz judicialmente.'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su parte, la ley 1702/01 establece: 'A los efectos de la correcta interpretación y aplicación de las normas relativas a la niñez y a la adolescencia, establécese el alcance de los siguientes términos: a) Niño: toda persona humana desde la concepción hasta los trece años de edad; b) Adolescente: toda persona humana desde los catorce años hasta los diecisiete años de edad; y c) Menor adulto: toda persona humana desde los dieciocho años hasta alcanzar la mayoría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esta norma regulaba solo sobre niño y adolescente, nos habríamos ahorrado buena parte de la polémica desatada.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se observa hay una clara contradicción entre las normas. El artículo 36 del Código Civil y la Ley 1702/01 colisionan con dispositivo superiores en el esquema jurídico piramidal.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interpretación no puede ser sino sistemática, analizando y estudiando el significado de cada precepto jurídico en relación con las demás normas del mismo cuerpo legal, como así también con los de los demás cuerpos normativos que integran el orden jurídico, como ser la Constitución, los instrumentos internacionales ratificados por Paraguay, el propio Código Civil, etc'.3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tal inteligencia, corresponde formular esta pregunta: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¿QUÉ ES MAYORÍA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Manuel Ossorio, significa automáticamente el cese de la patria potestad a que se estuviera sujeto4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mayoría de edad consiste en la adquisición de la plena capacidad jurídica por el hecho de cumplir los años que la legislación de cada país requiera, y en las diversas ramas del derecho: electoral, laboral, civil, mercantil, etc.5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¿CÓMO INTERPRETAR LA DICOTOMÍA QUE GENERA LAS NORMAS INCOHERENTES MENCIONADAS?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Del Artículo 36 del Código Civil surge que será plenamente capaz de hecho quien puede obrar por sí mismo o por sí solo, sin necesidad de representación necesaria alguna, autorización o venia, y ello ocurre al cumplir la persona los 20 AÑOS y no haber sido declarada incapaz judicialmente.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Convención Internacional sobre los Derechos del Niño fue ratificada en el año 1990, recibiendo la incorporación al ordenamiento de nuestro país por acto legislativo No. 57 con prioridad de rango sobre las leyes de nuestro derecho positivo derogando o modificando normas precedentes que podría contradecirlo por reconocimiento de la primacía del derecho internacional por la propia carta magna.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de señalar que las disposiciones de la Convención no son meramente programáticas, son directamente operativas y por ende de aplicación inmediata.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 respecto Bidart Campos afirma que: '..el interés superior del niño y el bienestar del menor, como estándar jurídico, y todo el dispositivo de la Convención 'no son consejos sino pautas obligatorias que tienen que tomar en cuenta los tres poderes del Estado'. Agrega que: '..los tratados se ratifican e ingresan al derecho interno de modo directo y automático, constituyendo una obligación interna e internacional, y los tribunales judiciales no se eximen de cumplirla'. Concluye: 'Creemos que los jueces argentinos están llamados y urgidos a dar la buena lección de que cuando el Estado se hace parte de un tratado sobre derechos humanos, sus tribunales tienen que reconocerles y prestarles fuerza vinculante...' 'Los tratados no son trajes de fiesta para exhibirse bien vestidos en el concierto internacional .... Los tratados son para cumplirse. Estas reflexiones parecen ajustadas y oportunas en momentos en que nuestros jueces de menores y demás organismos judiciales de la minoridad se encuentran ante la tarea de aplicar las disposiciones de la Convención en forma prioritaria haciendo una constante labor de confrontación con nuestro derecho interno para advertir las posibles contradicciones y, en su caso, otorgar primacía al estatuto internacional sobre derechos y garantías de la minoridad'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ratificación de la Convención por Paraguay sin reserva con relación a la mayoría de edad es el claro testimonio de la voluntad del Estado de obligarse a observar las disposiciones de dicho instrumento, por lo que cabe pensar, que ésta cuestión no resultaba de relevancia social como para dejarla expresamente marcada, a contrario sensu </w:t>
            </w:r>
            <w:r w:rsidRPr="001B7F27">
              <w:rPr>
                <w:rFonts w:ascii="Arial" w:eastAsia="Times New Roman" w:hAnsi="Arial" w:cs="Arial"/>
                <w:color w:val="003399"/>
                <w:sz w:val="17"/>
                <w:szCs w:val="17"/>
                <w:lang w:eastAsia="es-AR"/>
              </w:rPr>
              <w:lastRenderedPageBreak/>
              <w:t>puede pensarse que el Estado Paraguayo aceptó sin más bajar el límite de la edad (Reitero, no presentó reserva al respecto).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Convención no precisa el momento en que comienza la protección, quizás en un intento por conciliar o atraer la adhesión de la mayor cantidad de los países, y así ocurrió, pues de los 193 firmantes han ratificado hasta la fecha 191 países.</w:t>
            </w:r>
            <w:r w:rsidRPr="001B7F27">
              <w:rPr>
                <w:rFonts w:ascii="Arial" w:eastAsia="Times New Roman" w:hAnsi="Arial" w:cs="Arial"/>
                <w:color w:val="003399"/>
                <w:sz w:val="17"/>
                <w:szCs w:val="17"/>
                <w:lang w:eastAsia="es-AR"/>
              </w:rPr>
              <w:br/>
              <w:t>Sí establece el límite máximo en el tiempo del concepto de niño, esto es 18 años, hasta esta EDAD le es aplicable la Convención. SI ANTES NO SE HA ALCANZADO LA MAYORÍA DE EDAD (art. 1° último párrafo).</w:t>
            </w:r>
            <w:r w:rsidRPr="001B7F27">
              <w:rPr>
                <w:rFonts w:ascii="Arial" w:eastAsia="Times New Roman" w:hAnsi="Arial" w:cs="Arial"/>
                <w:color w:val="003399"/>
                <w:sz w:val="17"/>
                <w:szCs w:val="17"/>
                <w:lang w:eastAsia="es-AR"/>
              </w:rPr>
              <w:br/>
              <w:t>'El art. 1° de la Convención Internacional de los Derechos del Niño está señalando un parámetro de interpretación. Si hacemos un examen exegético de la misma, al decir '... salvo que, en virtud de la ley que le sea aplicable, haya alcanzado antes la mayoría de edad' se debe aceptar que el principio de 'favor minoris' es el que prima, pues la norma posibilita el alcance de la mayoría de edad, antes del límite de los dieciocho años, pero en manera alguna acepta que la protección exista después de tal edad'6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Compartiendo el aporte doctrinario que antecede corresponde destacar que la norma internacional utiliza la expresión 'niño' como sinónimo de menor de edad (art. 1°) El día que cumple 18 años marca el fin de la minoridad, pues extingue los mecanismos positivos de su protección.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los efectos de esta Convención, la infancia termina y la mayoría de edad se alcanza al cumplir el niño los dieciocho años 'salvo que, en virtud de la ley que le sea aplicable, haya alcanzado antes la mayoría de edad..'. Así pues, la Convención se muestra más normativa, a la hora de definir el fin de la infancia7.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Convención hace excepción con relación a la posibilidad de alcanzar la mayoría de edad antes de los 18 años, esto es cuando en virtud de la ley que le sea aplicable en un determinado Estado Parte esto ocurra antes. Pero no se contempla la ultractividad de la ley, en el sentido de que en los países en que la mayoría de edad se alcance en un tiempo mayor, la Convención le sea aplicable hasta aquel límite.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Sentados estos principios hermenéuticos, como primera conclusión es que el artículo 36 del Código Civil; el inc. 'c' del artículo 1° de la Ley 1702/01 deben ser interpretados como modificados en forma automática por la Convención Internacional en el límite de edad establecido; por colisión con el artículo 1° de dicha norma internacional y basado en razones de prelación de las leyes8.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ANTECEDENTES DEL CÓDIGO DE LA NIÑEZ Y LA ADOLESCENCIA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ratificar la Convención, nuestro país se comprometió adoptar todas las medidas administrativas, LEGISLATIVAS y de otra índole para dar efectividad a los derechos reconocidos en ella9.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cumplimiento de ese compromiso fue estudiado en el Congreso por la Comisión de Legislación, Codificación, Justicia y Trabajo de ambas Cámaras diversos proyectos del Código de la Niñez y la Adolescencia, todos en el contexto de la mayoría de edad a los 18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el proyecto elaborado por la Comisión de legislación, justicia y trabajo puso límite la minoría de edad a los 18 años al proponer en el artículo 1: DE LOS DERECHOS DEL NIÑO:'Este Código establece y regula los derechos, garantías y deberes del niño; considerado como tal todo ser humano desde su concepción hasta los 18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proyecto coordinado por DNI internacional. Sec. - Paraguay auspiciado por UNICEF proponía: 'Artículo 1.- 'Este Código regula los derechos y garantías de la infancia y la adolescencia desde su concepción hasta la edad de diez y ocho años cumplidos, desde la cual ingresa a la juventud adquiriendo plena capacidad civil para el ejercicio de sus derechos. Aquellos serán reconocidos, respetados y aplicados en la República por todas las autoridades, instituciones y personas sin distinción'.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Otra propuesta similar a las anteriores, señala: Artículo 1º. DE LOS DERECHOS DEL NIÑO: 'Este código establece y regula los derechos, garantías y deberes del niño; considerado como tal todo ser humano desde su concepción hasta los dieciocho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Código de la Niñez y la Adolescencia sancionado por la Honorable Cámara de Senadores y Diputados, objetado parcialmente por el Poder Ejecutivo (Art. 2º ) establecía: 'A los efectos de este Código, es considerado niño toda persona humana desde su nacimiento hasta que cumpla los catorce años y adolescente la persona desde los catorce años hasta que cumpla los dieciocho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Reitero, todos los proyectos, hasta lo sancionado por Ley 1680/01 proponía claramente la reducción de la mayoría de edad a los 18 años, modificando el artículo 36 del Código Civil a fin de armonizar el derecho de fuente internacional y el derecho interno no civil, ya que existen un número importante de preceptos legales en los que nuestro ordenamiento viene a reconocer plena capacidad a partir de los 18 años de edad, a saber: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DERECHO POLITICO: El ejercicio del sufragio se otorga a los 18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SERVICIO MILITAR OBLIGATORIO: Se debe cumplir desde los 18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CAPACIDAD PARA CONDUCIR VEHICULOS: Según las normas de tránsito, la edad para obtener el carnet de conductor en todo el país es a los 18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DERECHO LABORAL: A los 18 años se adquiere capacidad para celebrar contrato de trabajo sin autorización de los padres (art. 35 Código del Trabajo) Puesta en conexión esta norma con el artículo 83 del Código de la Niñez y la Adolescencia, tiene las siguientes consecuencias sobre la situación jurídica del joven: Se exceptúan del usufructo, los bienes que adquiera el hijo en retribución de su empleo o servicio, trabajo o industria. Es decir, los hijos pueden disponer libremente de estos bienes; consecuentemente tienen capacidad procesal laboral para estar en juicio desde que trabajan activa y pasivamente cuando se refiere a su propia actividad.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CAPACIDAD PARA TESTAR: A partir de los 18 años, toda persona puede disponer por testamento la totalidad o parte de sus bienes10.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MATRIMONIO: El adolescente puede contraer matrimonio desde los 14 años de edad, con dispensa judicial11. Si efectivamente lo contrae, quedará emancipado como consecuencia directa de su matrimonio y con ello adquirirá el estado de menor emancipado, que comprende tanto la salida de la patria potestad12, como la eficacia jurídica de lo que decide sobre sus propios asuntos.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Pueden lograr la emancipación para ejercer el comercio y/o lograr su emancipación civil con conformidad de ambos padres, o por venia judicial13.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CAMBIOS CULTURALES</w:t>
            </w:r>
            <w:r w:rsidRPr="001B7F27">
              <w:rPr>
                <w:rFonts w:ascii="Arial" w:eastAsia="Times New Roman" w:hAnsi="Arial" w:cs="Arial"/>
                <w:color w:val="003399"/>
                <w:sz w:val="17"/>
                <w:szCs w:val="17"/>
                <w:lang w:eastAsia="es-AR"/>
              </w:rPr>
              <w:br/>
              <w:t>No debemos olvidar los cambios culturales que inciden en la maduración de los jóvenes por lo que las legislaciones modernas y convenciones internacionales introducen aportes que revolucionan el marco legal de la infancia y la adolescencia14 y proponen un sistema de garantías desde la concepción hasta los 18 años en que se adquiere la mayoría de edad. De allí que sostener que la mayoría de edad no se ha modificado resulta del embretamiento mental que produce la ideología de la doctrina de la situación irregular ya superada.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Podemos mencionar la Convención Interamericana sobre obligaciones alimentarias ratificada por Ley 899/96, que en su artículo 2° prescribe: 'A los efectos de la presente Convención se considerará menor a quien no haya cumplido la edad de dieciocho años...'sin perjuicio de que el derecho aplicable es el que resultare más favorable al interés del acreedor 15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CONVENCIÓN INTERAMERICANA SOBRE TRÁFICO INTERNACIONAL DE MENORES (Ley 1062/97)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Artículo 2°: 'Esta Convención se aplicará a cualquier menor que se encuentre o resida habitualmente en un Estado Parte al tiempo de la comisión de un acto de tráfico internacional sobre dicho menor. Para los efectos de la presente Convención: a) 'Menor' significa todo ser humano cuya edad sea inferior a dieciocho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REGLAS DE LAS NACIONES UNIDAS PARA LA PROTECCIÓN DE MENORES PRIVADOS DE LIBERTAD.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'Alcance y aplicación de las reglas: A los efectos de las presentes Reglas, deben aplicarse las definiciones siguientes: a) Se entiende por MENOR toda persona menor de 18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Vemos así, que hoy los jóvenes a esta edad tienen aptitud jurídica para realizar innumerables actos con implicancia jurídica y social. A esa realidad se adecua el sistema del Código de la Niñez y la Adolescencia para así quedar incorporado a las orientaciones de las corrientes más actualizadas en la materia y las legislaciones actuales que establecen 18 años como frontera legal de la mayoría de edad producida a partir de la Convención Internacional sobre los Derechos del Niño.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LEGISLACIÓN COMPARADA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BRASIL. Estatuto del niño y del adolescente. Ley Federal N° 8069/90.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Artículo 2°: 'Se considera niño, para los efectos de esta Ley, a la persona hasta doce años de edad incompletos, y adolescente a aquella entre doce y dieciocho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PERÚ. Código de los niños y adolescentes. Decreto Ley No. 26102/92.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Artículo 1°: 'Se considera niño a todo ser humano desde su concepción hasta cumplir los 12 años de edad y adolescente desde los 12 hasta cumplir los 18 años de edad'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REPÚBLICA DOMINICANA. Código del Menor Ley 14/94.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 Para los efectos del presente Código, se considera niño, niña y adolescente todo ser humano desde su nacimiento hasta los 18 años de edad. Se le calificará de niño o niña desde su nacimiento hasta los 12 años y adolescente desde los 13 años hasta los 18 años cumplidos.'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GUATEMALA. Código de la niñez y adolescencia. 1995.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Artículo 3°: 'Se considera niño o niña a toda persona desde su concepción hasta que cumpla doce años de edad, entendiéndose por niñez al conjunto de ellos; y adolescente a todo aquel desde los doce años hasta que cumpla dieciocho años de edad.'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MEXICO: En el año 2000 se sancionó la 'Ley Nacional para la Protección de los Derechos de Niñas, Niños y Adolescentes' de alcance nacional para su aplicación en todo el territorio del país, a niñas, niños y adolescentes hasta 18 años cumplidos.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POCO DE HISTORIA. VETO DE LA LEY 1680/01 - ORÍGEN DE LA CONFUSIÓN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Aprobado el Proyecto de Ley por la Honorable Cámara de Senadores el 5 de diciembre del año 2000 quedó sancionado por la Honorable Cámara de Diputados, el 28 de diciembre del mismo año.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Congreso le asignó el No. 1680 y remitió al Poder Ejecutivo a los efectos de su promulgación.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Presidente de la República en uso de la facultad constitucional por Decreto Ley 12086 de fecha 6 de febrero de 2001 OBJETA PARCIALMENTE LA LEY 'Código de la Niñez y la Adolescencia', en su artículo 2° con el siguiente CONSIDERANDO: 'Que el artículo 2° de esta Ley al hacer referencia a los sujetos de este Código preceptúa cuanto sigue: 'A los efectos de este Código, es considerado niño toda persona humana desde su nacimiento hasta que cumpla los catorce años y adolescente la persona desde los catorce años, hasta que cumpla los dieciocho años de edad' Que, a criterio del Poder Ejecutivo, existen fundamentos constitucionales y doctrinarios de meridiana claridad para la Objeción Parcial de la Ley de referencia en su artículo segundo, teniendo en cuenta lo establecido por el Artículo 4° de la Constitución Nacional 'Del derecho a la Vida' que textualmente prescribe: 'El Derecho a la Vida es inherente a la persona humana. Se garantiza su protección, en general, desde la concepción' De esta conceptualización se desprende que para la Ley Fundamental se es persona humana desde la concepción amparada por las máximas garantías. Y ese mismo artículo 4° de nuestra Carta Magna enfatiza el valor persona al declararla 'Protegida por el Estado en su integridad física y síquica'. Que en el propio seno de la Convención Nacional Constituyente de 1992 se destacó por parte de integrantes del Poder Constituyente que: 'Todos estamos a favor de la defensa del derecho a la vida sin el cual no puede existir ningún Derecho. El Derecho a la Vida y otros son facultades inherentes al hombre en su dimensión individual, social y trascendente'. No son meras concepciones de Estado u otro Organismo alguno sino que son exigencias de su misma naturaleza. Que es evidente que el Artículo 2° de la Ley 'CÓDIGO DE LA NIÑEZ Y LA ADOLESCENCIA' a la que se hace referencia no se ajusta a la 'Declaración Universal de los Derechos del Niño' (Naciones Unidas 1959) y a la 'Convención de las Naciones Unidas por los Derechos del Niño (ONU 1989), documentos internacionales que coinciden plenamente en el concepto 'Que el niño por su falta de madurez física y mental necesita protección y cuidados especiales incluso la debida protección legal. TANTO ANTES COMO DESPUES DE SU NACIMIENTO. De este principio se deduce indudablemente que el concepto de niño no se limita al nacido sino también al niño por nacer. Que, son numerosos los tratadistas del Derecho Constitucional que se pronuncian claramente por la conceptuación que: 'NIÑO ES TODO SER HUMANO DESDE EL MOMENTO DE SU CONCEPCIÓN Y HASTA LOS DIECIOCHO AÑOS DE EDAD) (ver Helio Juan ZARINI - Derecho Constitucional segunda edición ampliada y actualizada páginas 436 y 437 - Declaraciones Derechos y Garantías año 1999). Que por todo lo aquí señalado es fácilmente advertible y comprobable que el aludido artículo 2° de la Ley mencionada entra en contradicción con la letra y el espíritu de la Declaración de los Humanos (Art. 3°). Declaración Americana de los Derechos y Deberes del Hombre (Art. 1°); Pacto Internacional de Derechos Civiles y Políticos (Art. 6°) Convención Americana sobre Derechos Humanos (Pacto de San José de Costa Rica - Art. 4°) y Convención sobre los Derechos del Niño (Art. 6°). Que si bien es cierto que el Estado Paraguayo carece de Religión Oficial no puede pasarse por alto su profunda preocupación relacionada con la redacción de dicho artículo de la Ley CÓDIGO DE LA NIÑEZ Y LA ADOLESCENCIA, ya que la propia Constitución Nacional en su artículo 82 consagra cuanto sigue: 'SE RECONOCE EL PROTAGONISMO DE LA IGLESIA CATÓLICA EN LA FORMACIÓN HISTÓRICA Y CULTURAL DE LA NACIÓN'. Que éste reconocimiento constitucional a la Iglesia Católica determina que sus opiniones acerca de la vida y la dignidad de la persona humana merezcan ser respetuosamente escuchados dado su innegable magisterio moral ejercido a lo largo de la Historia Patria...'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ser objetado parcialmente el Código de la Niñez y la Adolescencia en lo atinente al comienzo de la vida; NO a lo referente a la consideración niño hasta que cumpla los dieciocho años de edad, devuelve al Congreso Nacional. Este acepta la objeción parcial y confirma la sanción de la ley en la parte no objetada para remitir nuevamente al </w:t>
            </w:r>
            <w:r w:rsidRPr="001B7F27">
              <w:rPr>
                <w:rFonts w:ascii="Arial" w:eastAsia="Times New Roman" w:hAnsi="Arial" w:cs="Arial"/>
                <w:color w:val="003399"/>
                <w:sz w:val="17"/>
                <w:szCs w:val="17"/>
                <w:lang w:eastAsia="es-AR"/>
              </w:rPr>
              <w:lastRenderedPageBreak/>
              <w:t>Poder Ejecutivo sin introducir otros cambios dentro del plexo normativo. Sanciona la ley especial No. 1702/01 que introduce la franja etaria 'menor adulto' que a mi criterio produjo en algunos la confusión jurídica en cuanto al contenido de la expresión 'mayoría de edad'.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Entiendo que esta franja viene a constituir una disposición inconexa y desarticulada con las disposiciones del Código de la Niñez y la Adolescencia, pues si el legislador tuvo la idea de incluirlos dentro de la protección de dicha norma, todo quedó en eso, o sea en la mera idea conforme al artículo primero que extiende el ámbito de aplicación a niños y adolescentes.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otra parte, siguiendo una interpretación armónica de los tratados internacionales entre sí y con el derecho interno, no puede pensarse en que un grupo de la población, por una mera cuestión de edad, estén bajo el amparo que otorga la Convención Internacional sobre los Derechos del Niño, mientras que otros, los jóvenes desde los 18 a 20 años, llamados 'menores adultos' por la Ley No. 1702/01, sean insertados en un sistema híbrido de protección, pues no pueden gozar de todas las garantías de la Convención, pero tampoco adquieren la plena capacidad civil, es decir no se les permite alcanzar el pleno goce de sus derechos al reputárselo todavía 'MENOR'. Resulta por demás incoherente y genera una discriminación inaceptable la prolongación de una seudo protección.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¿CUÁL ES MÁS PROVECHOSA?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¿Demorar la plena adquisición de derechos y obligaciones o completar los derechos ya adquiridos?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PROTECCIÓN LEGAL EXTENDIDA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una de las jornadas de capacitación, un colega magistrado al concluir mi ponencia sobre esta tesis que estoy desarrollando, me preguntó cual es la opinión que sostengo respecto el artículo 41 de la Convención Internacional que consagra un criterio de interpretación que debe ser considerado en el momento de su aplicación al prescribir: 'Nada de lo dispuesto en la presente Convención afectará a las disposiciones que sean más conducentes a la realización de los derechos del niño y que puedan estar recogidas en: a) El derecho de un Estado Parte; o b) El derecho internacional vigente con respecto a dicho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norma, establece el reenvío al derecho interno más favorable al niño a fin de lograr el ejercicio efectivo de sus derechos en un sistema pleno de garantías.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Convención en el artículo 3° recepta el principio del INTERES SUPERIOR DEL NIÑO como pauta interpretativa sobre el que debe pivotear toda decisión sea administrativa o jurisdiccional referida a los niños, circunstancia esta que a mi juicio debe llevar a cualquier operador del Derecho, por lo menos, a meditar seriamente respecto al contenido de este principio informador.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X Congreso Internacional de Derecho de Familia, celebrado en Mendoza (setiembre 1998) se concluyó respecto del contenido del término 'INTERES SUPERIOR DEL NIÑO' estableciendo que es el RECONOCIMIENTO PLENO DE SUS DERECHOS.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esto es así, pretender mantener la mayoría de edad a los 20 años, significa dejar sin protección y pleno goce de sus derechos a aquellas personas que se presentan en el entramado de la Ley 1702/01 denominado 'menor adulto'.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establecer la mayoría de edad a los 18 años, no contradice el principio del INTERÉS SUPERIOR del niño en tanto la persona como mayor de edad adquiere su plena capacidad civil. La gran cantidad de excepciones que he indicado antes corrobora lo expuesto.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la Constitución es una regulación suprema de la República, es decir un sistema de normas que dispone que los tratados, convenios y acuerdos internacionales aprobados y ratificados integran el derecho positivo nacional con prelación superior a las leyes; la incorporación de la Convención Internacional modifica o deroga toda norma del derecho interno que se oponga a ella. En esa inteligencia el artículo primero de la Convención, plenamente operativo modifica el artículo 36 del Código Civil en lo referido a la mayoría edad a los 20 años, la que se adquiere a los 18 años de edad, pues, sostener lo contrario no sólo implica desconocer la jerarquía constitucional de la Convención sino desconocer el cambio producido por la Convención de los Derechos del Niño que otorgó una calidad jurídica distinta, al reconocer al menor como sujeto de derechos.16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Convención Internacional sobre los Derechos del Niño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Convención Interamericana sobre obligaciones alimentarias. Ley 899/96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Convención Interamericana sobre tráfico internacional de menores. Ley 1062/97.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Reglas de las Naciones Unidas para la Protección de Menores privados de libertad.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Fugaretta, Juan Carlos y Lamperti, Luis Roque. ' Otro aporte sobre la mayoría de edad '. 4.4,1998 - D - 1935.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WEINBERG Inés M. ' Convención sobre los Derechos del Niño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Ed. Rubinzal - Culzoni. Año 2002 pág. 41.-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CIPSEP. ' Normas Internacionales relativas a los Derechos de los niños, niñas y adolescentes'. As. Py 2002.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García Méndez, Emilio ' Derecho de la Infancia - Adolescencia en América Latina: De la situación irregular a la Protección Integral' Ed. Forum Pacts Santa Fe de Bogotá, D.C. Colombia. Año 1994.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Volpe Ríos, Sixto. ' Mayoría de edad en nuestra legislación'. Revista Jurídica CEDUC. Tomo 2- Año 2001, pág. 133/137.-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Joao Batista Costa Saraiva. ' El perfil del juez en el nuevo derecho de la infancia y la adolescencia' Justicia y Derecho del niño. UNICEF N° 2, pág. 39/47.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Beloff , Mary. ' Estado de avance de la adecuación de la legislación nacional y provincial a la Convención sobre los Derechos del Niño en Argentina'. Tendencias y perspectivas. Salta. Marzo 1998.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Abogada y Escribana Pública. Jueza de Primera Instancia de la Niñez y la Adolescencia. Circunscripción Judicial de la Capital y Encargada por Decreto de la Corte Suprema de Justicia de la Implementación del Código de la Niñez y la Adolescencia. Especializada en Derecho de Familia, con calificación sobresaliente, otorgado por la Facultad de Ciencias Jurídicas y Sociales de la Universidad del Litoral de Santa Fe, República Argentina. Post Grado en Derecho Civil por la Universidad de Salamanca - España. Profesora de las Cátedras de Derecho Romano I y Derecho de la Niñez y la Adolescencia, en la Facultad de Derecho y Ciencias Sociales de la Universidad Nacional de Asunción. Secretaría de la Asociación de Magistrados Judiciales del Paraguay. Vice - Presidenta de la Asociación Internacional de Jueces de la Infancia y Juventud del MERCOSUR, 2001 - 2003.</w:t>
            </w:r>
            <w:r w:rsidRPr="001B7F27">
              <w:rPr>
                <w:rFonts w:ascii="Arial" w:eastAsia="Times New Roman" w:hAnsi="Arial" w:cs="Arial"/>
                <w:color w:val="003399"/>
                <w:sz w:val="17"/>
                <w:szCs w:val="17"/>
                <w:lang w:eastAsia="es-AR"/>
              </w:rPr>
              <w:br/>
              <w:t>2 Art. 4° Convención Internación sobre los Derechos del Niño: 'Los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r w:rsidRPr="001B7F27">
              <w:rPr>
                <w:rFonts w:ascii="Arial" w:eastAsia="Times New Roman" w:hAnsi="Arial" w:cs="Arial"/>
                <w:color w:val="003399"/>
                <w:sz w:val="17"/>
                <w:szCs w:val="17"/>
                <w:lang w:eastAsia="es-AR"/>
              </w:rPr>
              <w:br/>
              <w:t>3 Dr. Sosa E, Enrique A., 'Desafíos de la Implementación del Código de la Niñez y la Adolescencia' Discurso pronunciado en la Apertura del Seminario Taller. As. Junio/02.</w:t>
            </w:r>
            <w:r w:rsidRPr="001B7F27">
              <w:rPr>
                <w:rFonts w:ascii="Arial" w:eastAsia="Times New Roman" w:hAnsi="Arial" w:cs="Arial"/>
                <w:color w:val="003399"/>
                <w:sz w:val="17"/>
                <w:szCs w:val="17"/>
                <w:lang w:eastAsia="es-AR"/>
              </w:rPr>
              <w:br/>
              <w:t>4 Diccionario de Ciencias Jurídicas, Políticas y Sociales - Manuel Ossorio, pág.456</w:t>
            </w:r>
            <w:r w:rsidRPr="001B7F27">
              <w:rPr>
                <w:rFonts w:ascii="Arial" w:eastAsia="Times New Roman" w:hAnsi="Arial" w:cs="Arial"/>
                <w:color w:val="003399"/>
                <w:sz w:val="17"/>
                <w:szCs w:val="17"/>
                <w:lang w:eastAsia="es-AR"/>
              </w:rPr>
              <w:br/>
              <w:t>5 Diccionario Jurídico - G. Cabanellas</w:t>
            </w:r>
            <w:r w:rsidRPr="001B7F27">
              <w:rPr>
                <w:rFonts w:ascii="Arial" w:eastAsia="Times New Roman" w:hAnsi="Arial" w:cs="Arial"/>
                <w:color w:val="003399"/>
                <w:sz w:val="17"/>
                <w:szCs w:val="17"/>
                <w:lang w:eastAsia="es-AR"/>
              </w:rPr>
              <w:br/>
              <w:t>6 Fugarretta, Juan Carlos y Lamperti, Luis R. 'Otro aporte sobre la mayoría de edad' en 4.4.1998 - D - 1935.</w:t>
            </w:r>
          </w:p>
          <w:p w:rsidR="001B7F27" w:rsidRPr="001B7F27" w:rsidRDefault="001B7F27" w:rsidP="001B7F27">
            <w:pPr>
              <w:spacing w:before="100" w:beforeAutospacing="1" w:after="100" w:afterAutospacing="1" w:line="240" w:lineRule="auto"/>
              <w:jc w:val="right"/>
              <w:rPr>
                <w:rFonts w:ascii="Arial" w:eastAsia="Times New Roman" w:hAnsi="Arial" w:cs="Arial"/>
                <w:color w:val="003399"/>
                <w:sz w:val="17"/>
                <w:szCs w:val="17"/>
                <w:lang w:eastAsia="es-AR"/>
              </w:rPr>
            </w:pPr>
            <w:hyperlink r:id="rId76" w:anchor="arriba" w:history="1">
              <w:r w:rsidRPr="001B7F27">
                <w:rPr>
                  <w:rFonts w:ascii="Arial" w:eastAsia="Times New Roman" w:hAnsi="Arial" w:cs="Arial"/>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2" w:name="22"/>
            <w:bookmarkEnd w:id="22"/>
            <w:r w:rsidRPr="001B7F27">
              <w:rPr>
                <w:rFonts w:ascii="Arial" w:eastAsia="Times New Roman" w:hAnsi="Arial" w:cs="Arial"/>
                <w:b/>
                <w:bCs/>
                <w:color w:val="009933"/>
                <w:sz w:val="20"/>
                <w:szCs w:val="20"/>
                <w:lang w:eastAsia="es-AR"/>
              </w:rPr>
              <w:t>"La Comisión de Derechos Humanos y los Mecanismos Extraconvencionales de Naciones Unidas: El Grupo de Trabajo sobre la Detención Arbitraria"</w:t>
            </w:r>
            <w:r w:rsidRPr="001B7F27">
              <w:rPr>
                <w:rFonts w:ascii="Arial" w:eastAsia="Times New Roman" w:hAnsi="Arial" w:cs="Arial"/>
                <w:color w:val="003399"/>
                <w:sz w:val="17"/>
                <w:szCs w:val="17"/>
                <w:lang w:eastAsia="es-AR"/>
              </w:rPr>
              <w:br/>
              <w:t>Soledad Villagra de Biedermann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Derechos Humanos e Internacional Humanitario</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7"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SUMARIO: 1. La Comisión de Derechos Humanos de Naciones Unidas. 2. Los Mecanismos extraconvencionales de la Comisión. 3. El Grupo de Trabajo sobre la Detención Arbitraria. Su creación. 4. Composición y mandato del Grupo de Trabajo. 5. Criterios aplicados por el Grupo de Trabajo para determinar si la privación de libertad es arbitraria. 6. Funciones del Grupo de Trabajo sobre la Detención Arbitraria. 6.a) Investigación de casos individuales; 6.b) Deliberaciones; 6.c) Procedimiento de Acción Urgente; 6.d) Misiones sobre el terreno; 6.e) Informe anual a presentarse a la Comisión. 7. El Grupo de Trabajo y su eficacia como mecanismo de protección de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La Comisión de Derechos Humanos de Naciones Unidas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Comisión de Derechos Humanos fue creada en 1946 por el Consejo Económico y Social (ECOSOC) de la Organización de Naciones Unidas. Está compuesta en la actualidad de 53 Estados miembros. La Comisión se reúne anualmente en Ginebra, Suiza, durante seis semanas desde mediados de marzo hasta fines de abril, pudiendo hacerlo ocasionalmente en sesiones de emergencia (lo ha hecho en situaciones como la de la exYugoslavia, Ruanda y Timor Oriental).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Trata de una multiplicidad de temas que van desde el voto a las situaciones de derechos humanos en Cuba, Sudán, Camboya, Haití, Myanmar, Rca. Popular de China, hasta resoluciones sobre si cómo conviene que estén diseñados los términos de un futuro Protocolo a la Convención contra la Tortura y Otros Tratos o Penas Crueles, Inhumanos o Degradantes, el análisis de la independencia de la judicatura en el mundo, temas como el derecho a la vivienda, efectos nocivos del vertimiento y traslado de los desechos tóxicos, ajuste estructural y deuda externa, el derecho al desarrollo, los migrantes y las personas desplazadas, el racismo y la xenofobia, la extrema pobreza,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poner un ejemplo del volumen de trabajo que maneja la Comisión, en la sesión de 1999 se distribuyeron 485 documentos, representando 6.278 páginas sólo en la versión en inglés. Participaron 3.240 personas, que incluyeron 587 representando los 53 Estados miembros, 568 representando otros 91 estados, 217 representando 29 organizaciones de Naciones Unidas y otras internacionales, y 1.284 representando 212 Ongs, que estuvieron observando los procedimientos o participando en ellos en una forma específica. Estas figuras incluyeron a 37 dignatarios (como jefes de gobierno, ministros de relaciones exteriores o jefes de organizaciones internacionales) que se dirigieron a la Comisión. Un total de 82 resoluciones fueron adoptadas, de las cuales 24 requirieron votos. Se tomaron también unas 13 decisiones sobre asuntos de procedimiento.2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Estados miembros, por otra parte, tienen un sistema de representación por grupos geográficos que los constituyen los países integrantes de Asia, Africa, Latinoamérica y el Caribe (llamado GRULAC: Grupo de América Latina y el Caribe), Europa Oriental y Europa Occidental y otros, categoría esta última que incluye a Canadá, Estados Unidos, Australia y Nueva Zelanda. La presidencia rota cada año para uno de los grupos. De la misma manera, cada grupo tiene un país coordinador por ese año y varias de las decisiones y resoluciones se votan por consenso en cada grupo. Los 53 Estados miembros son designados por el ECOSOC por el término de tres años siguiendo una fórmula diseñada para asegurar el principio de rotación entre países y una distribución geográfica igualitaria entre diferentes regiones del mundo.3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año se designó entre los nuevos miembros de la CDH a Paraguay, que por primera vez desde la existencia de la Comisión será miembro desde la próxima sesión (marzo a abril 2003) por tres años, con capacidad para votar resoluciones, y no solamente como país observador, que es como ya venía participando anteriormente.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Junto a la Comisión, como un órgano subsidiario de ésta, funciona la Subcomisión de Promoción y Protección de Derechos Humanos (desde 1947 a 1999 llamada Subcomisión de prevención de Discriminaciones y Protección de </w:t>
            </w:r>
            <w:r w:rsidRPr="001B7F27">
              <w:rPr>
                <w:rFonts w:ascii="Arial" w:eastAsia="Times New Roman" w:hAnsi="Arial" w:cs="Arial"/>
                <w:color w:val="003399"/>
                <w:sz w:val="17"/>
                <w:szCs w:val="17"/>
                <w:lang w:eastAsia="es-AR"/>
              </w:rPr>
              <w:lastRenderedPageBreak/>
              <w:t>Minorías), que en contraste con la Comisión - que está compuesta enteramente por representantes gubernamentales - se compone de 26 expertos independientes, electos por la Comisión a propuesta de los gobiernos, pero que sirven en sus capacidades personales y no siguiendo instrucciones de los gobiernos. Estos expertos se reúnen cuatro semanas en Ginebra anualmente en agosto, y tratan diferentes temas que han sido antes precedidos por grupos de trabajo (generalmente bajo el procedimiento 1503 que estudia violaciones masivas y sistemáticas en los países), como también el derecho de los pueblos indígenas, minorías, formas contemporáneas de esclavitud y otros.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Aunque la Comisión de Derechos Humanos ocupa un lugar de inferior jerarquía en la ONU que la Asamblea General o el ECOSOC, en el área de derechos humanos es mucho más significativa que éstos órganos y su trabajo es mucho más visible, es de hecho el foro natural para la discusión de todos los temas de derechos humanos en el mundo. Junto con la Oficina del Alto Comisionado de Naciones Unidas para los Derechos Humanos, creada por la Conferencia de Viena de 1993, forman el centro neurálgico operacional de instituciones y programas de derechos humanos4, así como el lugar principal donde las naciones se reúnen para la atención universal de denuncias de violaciones de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Los Mecanismos extraconvencionales de la Comisión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1975, la Comisión de Derechos Humanos de las Naciones Unidas ha venido creando una serie de mecanismos destinados a mejorar la protección internacional de los derechos humanos cuando se presentan situaciones que parecen revelar un cuadro persistente de violaciones de esos derechos. Estos procedimientos se basan en la resolución No. 1235 del 6 de junio de 1967 del ECOSOC y se crean por una resolución de la Comisión de Derechos Humanos. Pueden referirse a países en que existen cuadros semejantes de violaciones (Como Myanmar, Irak, Congo, Burundi), a violaciones de determinados derechos (tales como la libertad de expresión y de opinión, derecho a la educación o la independencia de jueces y abogados), o a formas especialmente graves de violaciones a los derechos humanos (desapariciones forzadas, tortura, detenciones arbitrarias, ejecuciones sumarias y arbitrarias, violencia contra la mujer, etc.)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estos procedimientos se analiza el tema de la situación que es objeto del mandato. Según el sistema utilizado, el Presidente de la Comisión nombra a una persona con capacidad especial en el asunto que se examina (conocida como el “Relator Especial”) o a un grupo de expertos (“Grupo de Trabajo”) -que representen los 5 diferentes grupos geográficos del mundo-, para que investiguen la cuestión y presenten un informe a la Comisión en su próximo período de sesiones anual. El mandato de los relatores por países es de un año y el de los relatores y grupos de trabajo temáticos es por tres años. Ninguno de estos expertos representa a su país, sino que actúan a título individual, en sus capacidades personales.5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procedimientos especiales deben distinguirse de los llamados órganos creados en virtud de tratados, cuyo fundamento jurídico es un tratado (convenio o pacto) de derechos humanos y cuyos miembros –también expertos independientes- son elegidos por una reunión de los Estados partes (los Estados que han ratificado el tratado). Estos son, entre otros, el Comité de Derechos Humanos creado por el Pacto Internacional de Derechos Civiles y Políticos, el Comité de Derechos del Niño creado por la Convención sobre Derechos del Niño, el Comité para la Eliminación de Todas las Formas de Discriminación Racial (CERD) creado por la Convención para la Eliminación de Todas las Formas de Discriminación Racial.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El Grupo de Trabajo sobre la Detención Arbitraria. Su creación.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es uno de los procedimientos especiales creados por la Comisión de Derechos Humanos, uno de los mecanismos temáticos basados en la Carta de Naciones Unidas, de una veintena existente en el sistema extra-convencional, que distingue, como señalábamos, los mecanismos de los tratados (órganos creados por tratados) de los mecanismos que se desarrollan fuera del ámbito de las convenciones. Estos últimos se crean no por un tratado, sino por resoluciones de órganos basados en la misma Carta de Naciones Unidas, y por tanto alcanzan en su competencia a un mayor número de Estados -todos los miembros de la ONU y no sólo los Estados parte de un tratado- en lo que concierne al tema de preocupación del mecanismo.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problema de la detención arbitraria ha dado lugar a la creación de un mecanismo especial porque es una situación que preocupa mundialmente: no conoce fronteras, y miles de personas están sometidas cada año a esta violación de derechos humanos.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Esto se produce ya sea por ejercer uno de sus derechos fundamentales garantizados en la Declaración Universal de Derechos Humanos, como la libertad de expresión, asociación, circulación; o bien por no poder beneficiarse de las garantías fundamentales de un juicio imparcial, siendo detenidas sin orden de arresto, sin ser acusadas ni juzgadas por autoridades judiciales independientes, o sin acceso a abogados, o incomunicadas indefinidamente; o por seguir detenidas luego de que se haya cumplido su sanción, o por último, debido a la práctica cada vez más difundida de la detención administrativa, sobre todo en el caso de personas que tratan de obtener asilo o refugio.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Ya que la detención en sí misma no es una violación de derechos humanos, el derecho internacional ha tratado de definir los límites después de los cuales toda detención, sea administrativa o judicial, se convierte en arbitraria.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Comisión de Derechos Humanos de la ONU se ha ocupado desde 1985 en varias resoluciones de llamar la atención sobre estas prácticas. En 1990, le solicitó a la llamada entonces Subcomisión de Prevención de Discriminaciones y Protección de Minorías que realizara un estudio a fondo de la detención arbitraria y le presentara un informe con recomendaciones para su reducción, y en 1991, en base a estas recomendaciones6, la Comisión de Derechos Humanos creó el Grupo de Trabajo sobre la Detención Arbitraria. Desde entonces, el Grupo pasó a formar parte de los procedimientos existentes establecidos por iniciativa de la Comisión a fin de garantizar la protección del derecho a la vida y a la integridad física, el respeto a la tolerancia religiosa y otros derechos.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Composición y mandato del Grupo de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Comisión de Derechos Humanos ha encomendado por resolución el siguiente mandato al Grupo de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investigar los casos de detención impuesta arbitrariamente o que por alguna otra circunstancia sea incompatible con las normas internacionales pertinentes enunciadas en la Declaración Universal de los Derechos Humanos o en los instrumentos jurídicos internacionales pertinentes aceptados por los Estados interesados, siempre que los órganos jurisdiccionales no hayan adoptado una decisión definitiva al respecto, de conformidad con la legislación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 solicitar y recibir información de los gobiernos y de las organizaciones intergubernamentales y no gubernamentales y recibir información de las personas interesadas, sus familias o sus representantes;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 presentar un informe completo a la Comisión en su período de sesiones anual.7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Grupo de Trabajo sobre la Detención Arbitraria es el único mecanismo que no ha sido creado en virtud de un tratado en cuyo mandato se prevé expresamente el examen de denuncias individuales. Esto significa que sus actividades se basan en el derecho de petición de los particulares en cualquier parte del mundo. Su mandato es por tanto mucho más amplio que el de los órganos creados por tratados, de cuyo alcance algunos Estados, al no ratificarlos, han podido eludirse.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mandato se estipula asimismo que el Grupo debe llevar a cabo su tarea con discreción, objetividad e independencia. Por esto el Grupo ha adoptado la norma de que cuando el caso que se examina se refiera a un país del que es nacional uno de los miembros del Grupo, ese miembro no participa en el debate.8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la resolución de la Comisión 1997/50 el mandato del Grupo se ha ampliado a investigar cuestiones relacionadas con la retención administrativa de los solicitantes de asilo y los inmigrantes.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Grupo de Trabajo está integrado por cinco expertos independientes designados después de las consultas efectuadas por el Presidente de la Comisión de Derechos Humanos a la luz de los criterios de distribución geográfica que se aplican en las Naciones Unidas (uno por cada una de las cinco regiones geográficas del mundo). Los actuales miembros son: Louis Joinet (Francia), Tamas Ban (Hungría), Mohammed Hachemi (Irán), Leila Zerrougui (Argelia), y la que suscribe, de Paraguay.9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presidente actual del grupo es Louis Joinet, quien fue asimismo fundador del Grupo10, como ex miembro de la Subcomisión proyectista de sus bases y funcionamiento. La primera sesión del Grupo de Trabajo fue en setiembre de 1991. La Comisión de Derechos Humanos prorroga el mandato del Grupo cada tres años.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Grupo cuenta con la asistencia de la secretaría a lo largo del año y celebra tres períodos de sesiones al año en Ginebra, generalmente en mayo, setiembre y noviembre, cada uno de los cuales dura entre cinco y ocho días laborales.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Criterios aplicados por el Grupo de Trabajo para determinar si la privación de libertad es arbitraria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instrumentos internacionales de derechos humanos protegen el derecho a la libertad personal, que consiste en que nadie podrá ser privado arbitrariamente de su libertad.11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Ahora bien, en los instrumentos internacionales no se ha respondido de manera definitiva a la cuestión de cuando es o se vuelve arbitraria una detención. Al determinar el mandato del Grupo de Trabajo, la Comisión utilizó un criterio pragmático, si bien no definió el término “arbitraria” consideró como arbitrarias las medidas de privación de libertad que, por una u otra razón, eran contrarias a las disposiciones internacionales pertinentes establecidas en la Declaración Universal de Derechos Humanos o en los instrumentos internacionales pertinentes ratificados por los </w:t>
            </w:r>
            <w:r w:rsidRPr="001B7F27">
              <w:rPr>
                <w:rFonts w:ascii="Arial" w:eastAsia="Times New Roman" w:hAnsi="Arial" w:cs="Arial"/>
                <w:color w:val="003399"/>
                <w:sz w:val="17"/>
                <w:szCs w:val="17"/>
                <w:lang w:eastAsia="es-AR"/>
              </w:rPr>
              <w:lastRenderedPageBreak/>
              <w:t>Estados.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resolución 1997/50 de la Comisión de Derechos Humanos se precisan los términos, se dice que no es arbitraria la privación de libertad cuando emana de una decisión definitiva adoptada por un órgano judicial nacional que se ajuste a: a) la legislación nacional y b) las normas pertinentes enumeradas en la Declaración Universal de Derechos Humanos o en los instrumentos internacionales pertinentes adoptados por los Estados de que se trate.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tanto, algunas comunicaciones que el Grupo recibe con frecuencia, solicitando que se declare una privación de libertad “injusta” o que exprese una opinión acerca del valor de las pruebas presentadas durante un juicio, constituyen áreas ajenas a la competencia del Grupo. El Grupo no debe evaluar los hechos y las pruebas de los distintos casos ni sustituirse a los tribunales de apelación nacionales (así como no lo hace ningún mecanismo de supervisión internacional de derechos humanos). Tampoco no es de su competencia examinar denuncias sobre casos de detención y ulterior desaparición de personas, presuntas torturas o condiciones inhumanas de detención, ya que existen un Grupo de Trabajo y un Relator Especial que son los órganos competentes en éstos temas.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fin de poder llevar a cabo sus tareas aplicando criterios lo bastante precisos, el Grupo de Trabajo ha adoptado criterios para el examen de los casos que se le someten inspirándose en varias disposiciones de la Declaración y el Pacto Internacional de Derechos Civiles y Políticos (éste para ser aplicado a Estados parte), así como en el Conjunto de Principios para la Protección de Todas las Personas Sometidas a Cualquier Forma de Detención o Prisión.12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consecuencia, según considera el Grupo, la privación de libertad es arbitraria si el caso está comprendido en una de las tres categorías siguientes: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2.cuando es evidentemente imposible invocar base legal alguna que justifique la privación de la libertad (como el mantenimiento de una persona en detención tras haber cumplido la pena o a pesar de una ley de amnistía que le sea aplicable) (categoría 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3.cuando la privación de libertad resulta del ejercicio de derechos o libertades proclamados en los artículos 7, 13, 14, 18, 19, 20 y 21 de la Declaración Universal de los Derechos Humanos y además, respecto de los Estados Partes, en los artículos 12, 18, 19, 21, 22, 25, 26 y 27 del Pacto Internacional de Derechos Civiles y Políticos (categoría II);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4.cuando la inobservancia, total o parcial, de las normas internacionales relativas al derecho a un juicio imparcial, establecidas en la Declaración Universal de los Derechos Humanos y en los instrumentos internacionales pertinentes aceptados por los estados afectados, es de una gravedad tal que confiere a la privación de libertad carácter arbitrario (categoría III).13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Funciones del Grupo de Trabajo sobre la Detención Arbitraria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mandato que posee el Grupo de Trabajo le permite desempeñar varias funciones, entre ellas, la principal constituye la recepción de denuncias individuales, pero también puede formular deliberaciones, realizar llamamientos de acciones urgentes y realizar misiones sobre el terreno a invitación de un gobierno. De todas sus actividades, debe presentar un informe anual a la Comisión de Derechos Humanos, donde se anexan las opiniones sobre casos individuales, los informes relativos a las misiones sobre el terreno y estadísticas.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6.a) Investigación de casos individuales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actividad del Grupo, por lo general, se inicia con las comunicaciones que le envían las personas directamente afectadas, sus familiares o representantes o las organizaciones no gubernamentales de protección de los derechos humanos, aunque también puede recibir comunicaciones de los gobiernos e instituciones intergubernamentales. Aunque existe un cuestionario modelo proveído por las Naciones Unidas, la presentación del mismo no es imprescindible para presentar una comunicación. Aunque a veces se reciben varias centenas de comunicaciones, éstas se clasifican por la secretaría, en consultas con el presidente, y aparte de los períodos de sesiones, en la que serán llamamientos urgentes y las que constituirán casos a tratar, de las cuales se envía una treintena a diferentes Estados14. Desde 1993, el Grupo tiene también competencia para ocuparse por propia iniciativa de casos que requieran su atención.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vez recibida la comunicación, sin mencionar la fuente de la información, ésta se trasmite al gobierno interesado por vía diplomática invitándolo a que responda en el plazo de 90 días, lo que se puede extender por dos meses más si el gobierno solicita una prórroga con las razones para ello. En su respuesta el gobierno debe hacer sus comentarios y observaciones tanto a los hechos como a la legislación aplicable, así como el progreso y resultados de las investigaciones que se hayan ordenado.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Luego se vuelve a enviar la respuesta del gobierno a la fuente, dándole la oportunidad de hacer sus comentarios finales. Si el gobierno no ha respondido en el plazo mencionado, el Grupo de Trabajo puede adoptar su posición basándose en la información que dispone.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La opinión del Grupo de Trabajo, por último, sobre la base de la información reunida en el procedimiento contradictorio15, se adopta en sesión privada del Grupo (con un mínimo de quórum de tres de sus miembros) en una de las maneras siguientes: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5.Si la persona recupera su libertad tras la comunicación, se archiva el caso, reservándose el Grupo el derecho de emitir una opinión, caso por caso, sobre si la detención ha sido o no arbitraria;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6.Si el Grupo considera que no se trata de un caso de privación arbitraria de libertad, emite una opinión en tal sentido;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7.Si el grupo considera necesario solicitar informaciones complementarias del gobierno o la fuente, puede mantener el caso en examen hasta recibirlas;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8.Si el Grupo considera que no está en condiciones de obtener suficiente información sobre el caso, lo puede archivar provisional o definitivamente;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9.Si el Grupo estima que se ha establecido el carácter arbitrario de la privación de libertad en una o más de las tres categorías establecidas, emite una opinión en tal sentido y hace recomendaciones al gobierno.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opinión del Grupo se envía al gobierno con las recomendaciones, tres semanas después a la fuente para su información. Las opiniones se publican en un anexo al informe que cada año el Grupo de Trabajo presenta a la Comisión de Derechos Humanos en cada uno de sus períodos anuales. En el año 2001 se emitieron 29 opiniones concernientes a 57 personas en 18 gobiernos, entre ellos Estados Unidos, Rca. Popular de China, Colombia, Qatar, Irán, Israel, Uzbekistán, Siria, Federación Rusia.16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6.b) Deliberaciones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Grupo puede formular deliberaciones sobre cuestiones de carácter general que implican una posición de principio a fin de elaborar un conjunto coherente de precedentes y prestar asistencia a los Estados para la prevención de la práctica de la detención arbitraria. Entre las deliberaciones ya adoptadas por el Grupo, están las que se refieren al arresto domiciliario y privación de libertad con fines de rehabilitación por el trabajo, sobre la validez de instrumentos internacionales de derechos humanos, sobre las alegaciones formuladas contra el Tribunal Penal de la Ex Yugoslavia.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6.c) Procedimiento de Acción Urgente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Grupo de Trabajo utiliza un procedimiento de “acción urgente” para los casos en que haya denuncias lo suficientemente fiables de que se puede haber detenido a una persona y de que ésta constituya un grave peligro para la salud o la vida de la misma. En estos casos, cuya mayoría se realiza en conjunto con otros mecanismos especiales de Naciones Unidas (relator contra la tortura, contra la violencia contra la mujer, etc.) se dirige un llamamiento urgente por la vía más rápida al Ministro de relaciones exteriores del Estado interesado, en el que se solicita la adopción de medidas apropiadas para garantizar el derecho a la vida y a la integridad de la persona. Se establece expresamente en estos llamamientos que los mismos no prejuzgan el carácter arbitrario de la privación de libertad y que tienen carácter puramente humanitario.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promedio de llamamientos urgentes que se hacen cada año a través de la Secretaría del Grupo (firmados por el presidente del mismo), es de un centenar, que corresponde a un número aún mayor de personas (107 llamamientos en el año 2000, correspondientes a 499 personas17).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6.d) Misiones sobre el terreno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Las visitas a los países se hacen a invitación de los países interesados, como en todos los mecanismos de supervisión internacionales. Constituyen una oportunidad para que el Grupo mantenga un diálogo directo con el gobierno interesado y los representantes de la sociedad civil, comprenda mejor la situación existente en el país, así como los motivos subyacentes de los casos de privación de libertad. Las entrevistas celebradas con miembros del poder judicial, servicios penitenciarios, así como los detenidos, en las visitas a las prisiones, permiten al Grupo comprender mejor el estado y la evolución de la legislación nacional desde la óptica de la legislación internacional de derechos humanos, teniendo en cuenta el contexto social, político e histórico de cada país.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Grupo ya ha realizado visitas, entre otros, a República Popular de China, Vietnam, Gran Bretaña, Australia (solicitantes de asilo y refugio), Nepal, Indonesia, Perú, Bahrein, y planea visitar este año México18. De cada visita se realiza un informe que se presenta a la Comisión de Derechos Humanos sobre la situación de la detención arbitraria en el país, y se realizan las recomendaciones que demandan un seguimiento posterior.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6.e) Informe anual a presentarse a la Comisión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En este informe el Grupo expresa además de las actividades mencionadas realizadas, las observaciones sobre diferentes instituciones, insuficiencias legales, políticas y prácticas judiciales que pueden constituir causas de las situaciones de privación arbitraria de libertad. Entre sus conclusiones, se han hecho observaciones críticas sobre los abusos de situaciones de emergencia, de los tribunales militares, la falta de independencia de jueces y abogados, problemas de libertad de opinión y expresión, etc. Conforme a sus métodos de trabajo, el Grupo presenta recomendaciones concretas a la Comisión de Derechos Humanos.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El Grupo de Trabajo y su eficacia como mecanismo de protección de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pesar de que los mecanismos internacionales de supervisión de derechos humanos son sólo subsidiarios o complementarios de los del derecho interno, su eficacia se da en la medida en que sean utilizados oportunamente y que redunden en beneficio directo de las víctimas. Aunque muchas veces no se logra a corto plazo este beneficio, el sólo hecho de llamar la atención mundial sobre un caso olvidado ya ayuda a preservar la integridad y muchas veces la vida de una persona, y permite una esperanza de cambio en los sistemas y en las prácticas violatorias de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Grupo ha declarado entre 1991 y 1997 la detención de 1331 personas como arbitraria, de 19 no arbitraria, y decidió archivar 335 casos, en los cuales los detenidos habían sido puestos en libertad cuando el Grupo de Trabajo examinó sus casos. Estos casos investigados se referían a unos 60 países de todo el mundo. De éstos no todos son dictaduras, se trata también de democracias en las que pueden existir algunos casos en que las instituciones o el sistema hayan permitido que se produzca esta violación.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sentido, a pesar de no ser una panacea la existencia de un mecanismo como el del Grupo, si ha servido para impulsar a Estados no obligados por ningún otro mecanismo internacional similar a investigar casos ocurridos en su territorio, e incluso a concitar la atención mundial sobre problemas graves dejados de lado en países democráticos, tales como los de los solicitantes masivos de asilo y refugio detenidos de forma indeterminada de forma administrativa mientras se tramitan o se han negado sus solicitudes.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utilización en nuestro país de estos mecanismos extra-convencionales por las organizaciones y la sociedad civil en general todavía no se ha hecho, y es necesaria para mejorar los estándares de cumplimiento del derecho internacional de los derechos humanos, que es donde se basan estos mecanismos. Es de esperar, que en los años siguientes, las nuevas generaciones de abogados y abogadas utilizarán mejor el derecho internacional y que esto a la vez implicará un mejor trabajo jurídico interno para un aprovechamiento adecuado de los procedimientos internacionales, posibilitando el mejoramiento de la calidad de protección a la persona humana. Este es un verdadero desafío para la comunidad jurídica nacional.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8"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3" w:name="23"/>
            <w:bookmarkEnd w:id="23"/>
            <w:r w:rsidRPr="001B7F27">
              <w:rPr>
                <w:rFonts w:ascii="Arial" w:eastAsia="Times New Roman" w:hAnsi="Arial" w:cs="Arial"/>
                <w:b/>
                <w:bCs/>
                <w:color w:val="009933"/>
                <w:sz w:val="20"/>
                <w:szCs w:val="20"/>
                <w:lang w:eastAsia="es-AR"/>
              </w:rPr>
              <w:t>"La Política Internacional y los Procesos de Integración"</w:t>
            </w:r>
            <w:r w:rsidRPr="001B7F27">
              <w:rPr>
                <w:rFonts w:ascii="Arial" w:eastAsia="Times New Roman" w:hAnsi="Arial" w:cs="Arial"/>
                <w:color w:val="003399"/>
                <w:sz w:val="17"/>
                <w:szCs w:val="17"/>
                <w:lang w:eastAsia="es-AR"/>
              </w:rPr>
              <w:br/>
              <w:t>Carlos Alberto González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Derechos Humanos e Internacional Humanitario</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79"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Hace ya muchos años, Hans J. Morgenthau sostenía que la primera lección que debe aprender el estudiante de Política Internacional es que la complejidad de los problemas internacionales imposibilita las soluciones sencillas o las profecías infalibles. Agregaba que, debido al constante cambio de los hechos de la Política Internacional, los asuntos del mundo reservan sorpresas para quienes intentan prever el futuro apoyándose en sus conocimientos del pasado y en las evidencias del presente2.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El mundo moderno corrobora ampliamente este pensamiento y si analizamos la conformación de las relaciones internacionales en las últimas décadas podemos advertir que se han operado transformaciones tan profundas que hubiera sido imposible preverlas, aún por parte del analista más sagaz de la década del sesenta.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caída del muro de Berlín, como la representación de la virtual desaparición de un sistema político, social y económico que controlaba la mitad del mundo, originó un cambio trascendental en la política internacional y en el equilibrio de las naciones.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lugar a dudas la desaparición de la guerra fría y de la competencia entre dos grandes bloques económicos y militares transformó no sólo la política internacional sino también muchísimos aspectos de la política interna de todas las naciones que, directa o indirectamente, se encontraban involucradas en esta competencia.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América Latina conoció el impacto de esta situación, entre otros hechos, por la desaparición del interés de la gran potencia del norte en mantener o alentar gobiernos militares, cuyo mérito era la declaración de una política anticomunista y la persecución de quienes no compartieran tal criterio. Sin perjuicio de que dentro de este sector fueran involucradas todas aquellas personas que demostraran convicción democrática. El Paraguay fue uno de los ejemplos más descarnados de esa política y la larga dictadura que debió soportar fue, en muchos aspectos, el resultado de la realidad de la situación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declaración de la dictadura y de los gobiernos militares en América Latina tiene, por lo tanto, una íntima vinculación con la política internacional y constituye una expresión del permanente interrelacionamiento entre la realidad nacional y aquella política.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el alcance e influencia de las relaciones exteriores va mucho mas allá de la realidad política. Los fenómenos económicos que ocurren en el mundo se transmiten con tanta o mayor fuerza que los acontecimientos políticos y entre unos y otros existen vínculos inseparables.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realidad del mundo actual impuso transformaciones que han alcanzado a todos los países. Los procesos de integración regional y la globalización de la economía constituyen hechos que se imponen a los países como una realidad ineludible.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tal sentido los procesos de integración constituyen nuevas realidades que se han incorporado al mundo internacional de modo absolutamente irreversible.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Aún cuando la situación europea demuestra que la integración significó un ideal a partir de la terminación de la segunda guerra mundial, la verdad es que la aceleración de estos procesos y su extensión a todas las latitudes se ha producido con verdadero énfasis en los últimos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obstante lo expresado, a partir de la década del sesenta se advierten acciones para llegar a un proceso integrador, aún cuando ellas tuvieran originalmente un alcance limitado y un éxito discutible.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podemos olvidar que en América encontramos antecedentes en el tratado de Montevideo de 1960, que integró la ASOCIACIÓN LATINOAMERICANA DE LIBRE COMERCIO (A.L.A.L.C.), a la que originalmente pertenecieron Argentina, Brasil, Chile, México, Paraguay, Perú y Uruguay, para adherirse posteriormente Bolivia, Colombia, Ecuador y Venezuela. El objetivo de esta asociación fue la de formar una zona de libre comercio en un plazo de doce años. Sin embargo no fueron muchos los éxitos alcanzados por esta asociación. Fue así como en 1980 se subscribió un nuevo tratado, también en Montevideo, por el cual se creo la ASOCIACIÓN LATINOAMERICANA DE INTEGRACIÓN (A.L.A.D.I.), cuyo objetivo, a largo plazo, fue el establecer, en forma gradual y progresiva, un mercado común latinoamericano y su ideal enunciado fue proseguir el proceso de integración encaminado a promover el desarrollo económico social, armónico y equilibrado de la región.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Otros países de América del Sur también iniciaron un proceso integrador y a fines de la década del sesenta conformaron el Grupo Andino, según el acuerdo de Cartagena suscrito por Bolivia, Chile, Ecuador, Colombia y Perú, con posterior adhesión de Venezuela en 1973 y retiro de Chile en 1976.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América Central inicia también un proceso integrador en el año 1960 y el Salvador, Guatemala, Honduras y Nicaragua suscriben, en Managua, un tratado General de Integración Centro Americana que contó con la posterior adhesión de Costa Rica.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países del Caribe, en 1965, crearon la ASOCIACIÓN DE LIBRE COMERCIO DEL CARIBE a la que adhirieron Antigua, Barbados y Guayana, transformando, en 1973, dicha asociación en la comunidad del Caribe y en el MERCADO COMÚN DEL CARIBE (C.A.R.I.C.O.M.), al que pasan a pertenecer casi todas las naciones del Caribe.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procesos de integración se hicieron sentir en África con la unión ADUANERA Y ECONÓMICA DE AFRICA CENTRAL (U.D.E.A.C), creada en 1966, y con la comunidad Europea de Africa Oriental (C.E.D.E.A.O.), entidad que fue integrada, con adhesiones posteriores, por 27 países Africanos.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Australia y Nueva Zelanda concertaron también un Acuerdo Comercial (ANZCERT), en el año 1983, para formar una zona de libre comercio.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Filipinas, Indonesia, Malasia, Singapur y Tailandia, con posterior adhesión de Brunei, Darussalam, suscribieron, en 1967, un acuerdo para la creación de la ASOCIACIÓN DEL SUDESTE ASIÁTICO (A.N.S.E.A).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Dentro de los nuevos procesos de integración debemos señalar el tratado de LIBRE COMERCIO DE AMÉRICA DEL NORTE, suscrito en 1992, entre Canadá, Estados Unidos de Norte América y México. Su preámbulo enuncia que los países signatarios confirman su compromiso de promover el empleo y el crecimiento económico, mediante la expansión del comercio y de las oportunidades de inversión en la zona de libre comercio y se reitera el compromiso de promover el desarrollo sostenible y proteger, ampliar y hacer efectivos los derechos laborales, así como mejorar las condiciones siguientes: eliminar barreras al comercio, promover las condiciones para una competencia justa, incrementar las oportunidades de inversión, proporcionar protección adecuada a los derechos de propiedad intelectual, establecer procedimientos efectivos para la aplicación del tratado y la solución de controversias y fomentar la cooperación trilateral, regional y multilateral.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AREA DE LIBRE COMERCIO DE LAS AMÉRICAS (A.L.C.A.) constituye un proyecto aprobado por 34 jefes de Estado en la reunión de la Cúpula de las Américas, celebrada en Miami en Diciembre de 1994. En la oportunidad se convino la negociación de un calendario que permitiera crear una zona de libre comercio desde Alaska hasta la Patagonia, zona que sería puesta en vigencia en un plazo máximo estipulado para el año 2015, sin perjuicio de que los gobiernos se comprometieran a negociar el calendario respectivo hasta el año 2005.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principales objetivos del A.L.C.A. son: promover la prosperidad a través de la integración económica y del libre comercio, combatir la corrupción y el narcotráfico, erradicar la pobreza, fortalecer la democracia y proteger el medio ambiente.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puesta en marcha del A.L.C.A. ha originado algunos puntos de vista divergentes en cuanto a su concreción. Si bien los Estados Unidos mostraron interés en acelerarla, el Presidente Clinton encontró problemas dentro del Congreso y de los parlamentarios de su propio partido para obtener el fast track o trámite rápido, es decir, la posibilidad de negociar acuerdos comerciales y de integración celebrando convenios para cuyo tratamiento, en el Congreso, éste órgano tuviera solo la atribución de aprobarlo o rechazarlo, pero no de modificarlo. Situación, esta última, que podría generar un interminable alargamiento de las negociaciones internacionales, pues cualquier modificación que se hiciera a lo concertado por el Presidente tendría que ser objeto de nuevas tratativas con los países signatarios.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Presidente Bush en el curso del presente año 2002, ha obtenido un avance en el Congreso al lograr la aprobación del Fast Track, pero con determinadas limitaciones, referidas especialmente a las negociaciones vinculadas con bienes producidos por países del tercer mundo y en especial por América Latina, hecho que en definitivas, vendría a dificultar, cuando no a impedir, la exportación de ciertos productos agrícolas de la zona a los Estados Unidos.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Debemos agregar que el ALCA despierta reservas y temores, especialmente en el Brasil, que maneja con evidente prudencia e incuestionables reservas el proceso de avance de esta asociación de libre comercio.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Cualquier estudio de un proceso de integración exige indefectiblemente el análisis de la Unión Europea que en muchos aspectos, y especialmente para el MERCOSUR, constituye el ejemplo de cómo lograr una integración que ha sobrepasado los aspectos meramente aduaneros y económicos para abarcar cuestiones políticas y sociales, llegando a los difíciles aspectos de una unión monetaria.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Europa, con el tratado de Maastrich ha consagrado una integración que abarca a Alemania, Francia, Inglaterra, Bélgica, Holanda, Luxemburgo, Dinamarca, Italia, Irlanda, Grecia, España, Portugal, Finlandia, Suecia y Austria y aspira a extenderse a los países que formaron parte del bloque del Este.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duda alguna la integración europea ha logrado crear un sistema institucional que permite superar los aspectos que podríamos llamar tradicionales en los procesos de integración, a los cuales nos referimos en este trabajo, para llegar a una verdadera comunidad que supere vastamente los aspectos fundamentalmente económicos con que fue concebida. Posiblemente el largo proceso que ha llevado la Unión Europea, a partir de la Comunidad Europea del Carbón y del Acero, creada por el tratado de París de 1951, hasta el tratado de Maastricht, suscrito en el año 1992, ha permitido ir superando en forma paulatina y sucesiva los obstáculos que se presentan en un proceso de integración. Un aspecto positivo que ha contribuido a la integración europea es la aceptación del principio de la supranacionalidad y la constitución de órganos de tal carácter, cuyas atribuciones están por sobre las de los órganos de carácter 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principio de la supranacionalidad, que virtualmente no ha sido aceptado hasta el momento en el MERCOSUR, constituye un tema básico que de no ser superado difícilmente pueda llegarse a una verdadera integración.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Y es este un tema que se relaciona con el concepto de la soberanía, cuyo carácter absoluto fuera discutido hace ya mucho tiempo por juristas de la talla de Carnelutti y de Calamandrei, quien expresaba que lo absoluto de la soberanía, tanto interna como internacional, deberá ceder porque la futura soberanía del Estado será limitada por una organización superior. Y agregaba: “No me toméis como un soñador, serán necesarios siglos, acaso luchas y batallas y sufrimientos todavía, pero llegará una época en que las cosas habrán de cambiar”. Puede advertirse que el vaticinio de los grandes pensadores jurídicos mencionados no necesitó de tanto tiempo para ser cumplido, pues el concepto de soberanía ha ido perdiendo su carácter absoluto ya antes de que los actuales procesos de integración lo requieran. Debemos recordar que la creación de los grandes organismos internacionales como las Naciones Unidas y la Organización de los Estados Americanos significa ya poner un límite al valor absoluto de la soberanía, límite que se advierte con mucho mayor énfasis con la creación de órganos supranacionales en los procesos de integración.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MERCOSUR, en el cual se encuentra involucrado el Paraguay, ha tenido su origen en el Tratado de Asunción, suscrito por los gobiernos de Argentina, Brasil, Paraguay y Uruguay el 26 de marzo de 1991 y cuyo propósito fue el de construir un Mercado Común que debía estar conformado el 31 de Diciembre de 1994.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los efectos del tratado, la expresión Mercado Común implica fundamentalmente la libre circulación de bienes, servicios y factores productivos entre los países, a través de la eliminación de los derechos aduaneros y restricciones no arancelarias; el establecimiento de un arancel externo común y la adopción de una política común en relación con terceros estados; la coordinación de políticas macro económicas y sectoriales entre los Estados partes y el compromiso de armonizar sus legislaciones en el área pertinente.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Tratado de Asunción previó un período de transición hasta el 31 de Diciembre de 1994 y fue complementado por distintos Protocolos entre los que debemos citar, en primer término, el de Ouro Preto, que consagró la estructura jurídica del MERCOSUR y le otorgó Personería Jurídica internacional; el Protocolo de Brasilia, en el cual se afirma que dicho instrumento contribuirá al fortalecimiento de las relaciones entre las partes, sobre la base de la justicia y de la equidad; consagra que las controversias que surjan entre los Estados partes sobre la interpretación, aplicación o el incumplimiento de las disposiciones contenidas en el Tratado de Asunción, de los acuerdos celebrados en el marco del mismo, así como de las decisiones del Consejo del Mercado Común y de las Resoluciones del grupo Mercado Común, serán sometidos a los procedimientos de solución establecidos en el presente Protocolo.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instrumento consagra tres etapas sucesivas para la solución de controversias: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Las negociaciones directas; </w:t>
            </w:r>
            <w:r w:rsidRPr="001B7F27">
              <w:rPr>
                <w:rFonts w:ascii="Arial" w:eastAsia="Times New Roman" w:hAnsi="Arial" w:cs="Arial"/>
                <w:color w:val="003399"/>
                <w:sz w:val="17"/>
                <w:szCs w:val="17"/>
                <w:lang w:eastAsia="es-AR"/>
              </w:rPr>
              <w:br/>
              <w:t>b) la intervención del grupo Mercado Común;</w:t>
            </w:r>
            <w:r w:rsidRPr="001B7F27">
              <w:rPr>
                <w:rFonts w:ascii="Arial" w:eastAsia="Times New Roman" w:hAnsi="Arial" w:cs="Arial"/>
                <w:color w:val="003399"/>
                <w:sz w:val="17"/>
                <w:szCs w:val="17"/>
                <w:lang w:eastAsia="es-AR"/>
              </w:rPr>
              <w:br/>
              <w:t>c) El procedimiento arbitral.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mecanismos para la solución de controversias, tanto a nivel estatal cuanto a nivel de particulares, constituyen un aspecto fundamental en todo proceso de integración y la verdad es que el mecanismo escogido por el Tratado de Brasilia, ampliado por el Protocolo de Ouro Preto, no constituye la forma mas idónea de buscar la solución a las múltiples controversias que forzosamente se suscitan en un proceso integrador.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primer lugar debemos señalar el largo procedimiento que se debe seguir para obtener un laudo del Tribunal Arbitral, en la hipótesis de que las dos primeras fases ya mencionadas no tuvieran éxito. En segundo término es indispensable resaltar la total ausencia de imperio del Tribunal Arbitral y la solución a la cual llega el Protocolo para la hipótesis en que uno de los Estados no cumpliera el laudo dictado, al disponer que los otros Estados podrán adoptar medidas compensatorias temporarias, tales como la suspensión de las concesiones u otras equivalentes, tendientes a obtener su cumplimiento. Esta virtual Ley del Talión resulta inapropiada como medio de buscar el cumplimiento de una disposición jurisdiccional y además de muy difícil cumplimiento si las partes afectadas resultan ser Paraguay o Uruguay, pues sin lugar a dudas lo mas posible es una nueva controversia en la cual no serán perdedores los mas grandes. Por este motivo, en el proyecto de protocolo sustitutivo de Brasilia, presentado por Paraguay y al cual habremos de referirnos mas adelante, se establecía la posibilidad de una multa a cargo del país que incumpliera el laudo o sentencia dictado por el Tribunal.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Toda esta situación relacionada con la solución de controversias nos lleva nuevamente a las reflexiones que habíamos hecho con el problema de la supranacionalidad y con la necesidad de la existencia de órganos que tengan esta característica y las atribuciones pertinentes.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aspecto de la supranacionalidad tiene especial vinculación con la solución de controversias y, en tal sentido, el protocolo de Brasilia que crea los tribunales “ad hoc”, jurídicamente no tiene una diferencia sustancial con la sentencia que pudiere dictar un tribual permanente de características supranacionales. En efecto tanto en uno como en otro caso, se trata de un órgano no creado en forma directa por el sistema constitucional de ninguno de los países del MERCOSUR y tampoco es un órgano jurisdiccional interno, sino un tribunal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acuerdo con estas reflexiones y con la necesidad de perfeccionar el sistema de solución de controversias, la Cancillería paraguaya presentó antes de concluir la última Presidencia “pro tempore” de nuestro país, un Proyecto </w:t>
            </w:r>
            <w:r w:rsidRPr="001B7F27">
              <w:rPr>
                <w:rFonts w:ascii="Arial" w:eastAsia="Times New Roman" w:hAnsi="Arial" w:cs="Arial"/>
                <w:color w:val="003399"/>
                <w:sz w:val="17"/>
                <w:szCs w:val="17"/>
                <w:lang w:eastAsia="es-AR"/>
              </w:rPr>
              <w:lastRenderedPageBreak/>
              <w:t>según el cual se creaba un tribunal permanente, de única instancia, para la solución de las Controversias que pudieran surgir en el ámbito del MERCOSUR. Este documento contenía ciertos aspectos que fueron tomados del Protocolo de Brasilia pero se diferenciaba fundamentalmente en el carácter permanente del Tribunal y en diversas normas que a nuestro criterio otorgaban mayor seguridad al sistema de solución de controversias.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la tesis de un Tribunal permanente coincidía la Cancillería uruguaya, que ya en la Cumbre de Florianópolis, celebrada a fines de 1990, presentó un documento elaborado por su Canciller Didier Operti, en el cual sostenía la necesidad de consagrar normas de mayor significación en cuanto a la modificación del Protocolo de Brasilia, que aquellas fueron elaboradas por un equipo técnico dependiente del Grupo Mercado Común y que también fueron presentadas en la Cumbre de Florianópolis.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Debe destacarse la creación de un grupo de Alto Nivel para la solución de controversias del MERCOSUR, dispuesta por el Consejo del Mercado Común, e integrado por representantes de los cuatro países. Dicho grupo trabajó intensamente durante el año 2001, tomando como una de las principales bases de estudio el Proyecto presentado por la Cancillería paraguaya.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debates producidos en el seno del Grupo de Alto Nivel, mostraban criterios divergentes entre los diferentes países del MERCOSUR. Paraguay sostenía la necesidad del Tribunal único permanente, con sede en Asunción. Uruguay, especialmente en los comienzos de las discusiones sobre el tema, adhería al Tribunal único permanente. La verdad es que las diferentes tesis expuestas mostraban una gran dificultad de poder llegar a un acuerdo. Los delegados brasileños, en general, se mostraban partidarios del documento que fuera presentado en Florianópolis por el Grupo Mercado Común, sin perjuicio de las modificaciones que se podrían introducir y Argentina mostraba en determinados aspectos un criterio similar.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obstante las señaladas divergencias y luego de intensos cambios de pareceres entre los representantes de los cuatro países, se logró una redacción que contemplaba parcialmente las Tesis de Paraguay y de Uruguay al crear un Tribunal de Revisión Permanente, pero mantenía la existencia de Tribunales “Ad Hoc”. El tema llevó numerosas reuniones, especialmente en Montevideo, durante la Presidencia “pro tempore” de Uruguay. Este documento fue finalmente presentado en la reunión de Presidentes y del Consejo del Mercado Común, llevada a cabo en Olivos, República Argentina, y aprobado el 18 de febrero de 2002. El instrumento aprobado se conoce con el nombre de Protocolo de Olivos.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principales características de este protocolo podríamos resumirlas en las siguientes: recoge aspectos fundamentales del Protocolo de Brasilia, tales como los vinculados con el ámbito de aplicación, con las etapas del proceso ante los Tribunales “ad hoc”, aunque cuando con una diferencia sustancial, al disponer que la etapa procesal ante el Grupo Mercado Común es optativa para las partes y no obligatoria. Conserva igualmente las negociaciones directas previas entre los Estados y las características del Laudo Arbitral normado por el Protocolo de Brasilia.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Protocolo de Olivos los tribunales ad hoc funcionan como tribunales de primera instancia. Se establece una lista de árbitros que es permanente y el Laudo arbitral esta sujeto al recurso de Revisión.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duda alguna, el aspecto fundamental de este Protocolo, que lo diferencia del de Brasilia, es la creación del Tribunal Permanente de Revisión, que conoce en cuestiones de derecho y en las interpretaciones jurídicas del laudo arbitral dictado por el Tribunal ad hoc. El plazo para dictar el laudo que tiene el Tribunal es de 45 días a partir de la contestación de la demanda o reclamo y tal laudo hace cosa jugada.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es propósito de este trabajo hacer un estudio pormenorizado del Protocolo de Olivos, pero debemos señalar que significa un gran avance en materia de solución de controversias, comparando con el sistema anterior dispuesto por el Protocolo de Brasilia y en gran medida ha constituido una forma de transacción entre las posturas divergentes de los países integrantes del MERCOSUR, logrado merced a las numerosas reuniones del Grupo de Alto Nivel. Además ha sido un éxito incuestionable para el Paraguay, pues consagra la creación de un Tribunal Permanente y el haber obtenido que Asunción fuera la sede de dicho órgano, tesis ambas sostenidas incansablemente por nuestro país, sin perjuicio de varios otros logros obtenidos, como el admitir que las partes acuerden recurrir directamente al Tribunal de Revisión, omitiendo al Tribunal Arbitral ad hoc.</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Protocolo, cuenta ya con la aprobación legislativa de las Cámaras de Senadores del Paraguay y Argentina (Septiembre/2002) y se espera que cuente con la sanción correspondiente de los poderes legislativos de los cuatro países.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Dentro del proceso integrador del MERCOSUR no podemos dejar de señalar un aspecto positivo y de fundamental trascendencia: la conocida “Cláusula Democrática” consagrada, en primer término, como una declaración de los Presidentes del MERCOSUR, formulada en San Luis, República Argentina, y posteriormente con los caracteres internacionales de un acuerdo de los cuatro países que adquiere valor vinculante y que significa que un país que deja de tener un gobierno democrático, debe ser forzosamente excluido del MERCOSUR.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La inestabilidad política de países como el Paraguay demuestra que la “Cláusula Democrática” puede cumplir y ya está cumpliendo un rol fundamental para mantener el sistema democrático y el estado de derecho en los países del MERCOSUR. Lo ocurrido durante el mes de Marzo de 1999 en este país, donde nuevamente se puso en riesgo la estabilidad democrática, demuestra que aquellos que pretenden atentar contra ella, tienen siempre el temor a la reacción internacional y mas concretamente a la posibilidad de su exclusión del MERCOSUR, no tanto por las ventajas que este reporta en el momento actual, como por el aislamiento internacional que significaría para un país ser apartado del seno de este proceso por violentar un principio ya consagrado y de obligatorio cumplimiento para todos los que lo integran.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Cabe señalar finalmente que el MERCOSUR no constituye una opción que tenga el Paraguay entre otras y que pueda elegir entre varias alternativas. La realidad internacional de la cual hemos hablado, esa transformación a veces tan poco previsible de las relaciones exteriores, y la situación del mundo actual son la que configuran la necesidad de pertenencia al MERCOSUR.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Mucha son las críticas válidas y razonables que podemos hacer al funcionamiento del MERCOSUR y a los obstáculos derivados, generalmente, de trabas no arancelarias que sufre el comercio intrazona de nuestro país.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comprensible que la aguda crisis que afecta la región repercuta negativamente y de manera directa en las posibilidades de que el MERCOSUR sea un verdadero instrumento de desarrollo de nuestros países.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como hemos dicho, la alternativa no es dejar de pertenecer al proceso integrador, sino ejercer todos los medios posibles que podamos encontrar en el manejo de las relaciones exteriores, para superar los problemas existentes y hacer del MERCOSUR una realidad que promueva eficazmente el desarrollo armónico de todos los países que lo integran, teniendo presente la especial situación del Paraguay como nación con mayores problemas estructurales y menor desarrollo en todos los aspectos. Al igual que en la Unión Europea la solidaridad debe ser un principio esencial que inspire el proceso integrador.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Finalmente, debe señalarse que en las actuales circunstancias del mundo y dentro del difícil proceso de globalización de la economía, el MERCOSUR es el mejor instrumento, o quizás el único, con que cuentan los países que lo integran para estar en condiciones de negociar con los países del primer mundo y con otros bloques regionales.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0"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4" w:name="24"/>
            <w:bookmarkEnd w:id="24"/>
            <w:r w:rsidRPr="001B7F27">
              <w:rPr>
                <w:rFonts w:ascii="Arial" w:eastAsia="Times New Roman" w:hAnsi="Arial" w:cs="Arial"/>
                <w:b/>
                <w:bCs/>
                <w:color w:val="009933"/>
                <w:sz w:val="20"/>
                <w:szCs w:val="20"/>
                <w:lang w:eastAsia="es-AR"/>
              </w:rPr>
              <w:t>"La Transmisión de las Obligaciones: De la Cesión de Créditos a la Cesión del Contrato"</w:t>
            </w:r>
            <w:r w:rsidRPr="001B7F27">
              <w:rPr>
                <w:rFonts w:ascii="Arial" w:eastAsia="Times New Roman" w:hAnsi="Arial" w:cs="Arial"/>
                <w:color w:val="003399"/>
                <w:sz w:val="17"/>
                <w:szCs w:val="17"/>
                <w:lang w:eastAsia="es-AR"/>
              </w:rPr>
              <w:br/>
              <w:t>María Esmeralda Moreno Rodríguez</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Civil y Comercial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1"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institución de la llamada cesión del contrato no es más que el último, en el orden del tiempo, de una serie de esquemas que la ciencia jurídica ha venido elaborando en el curso de los siglos para viabilizar el complicado fenómeno de la comercialización y dinamización de la relación obligatoria a partir de un cambio de sujetos en la misma. Tras haberse admitido la cesión de créditos y luego, más tardíamente, la asunción de la deuda, se ha ido preparando el ambiente y el camino para hacer posible la consagración de una total cesión de un contrato que se ha ido imponiendo en la práctica merced a la progresiva mercantilización de la vida económica”. – Luis Diez-Picazo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 es novedad alguna que la evolución del derecho y de sus institutos jurídicos se produce como una respuesta a las necesidades de una sociedad que va en constante evolución. Como se ha dicho con justeza, “el derecho es una ciencia social, sin duda, que se nutre de la propia naturaleza humana”, que funciona “como un motor palpitante, que </w:t>
            </w:r>
            <w:r w:rsidRPr="001B7F27">
              <w:rPr>
                <w:rFonts w:ascii="Arial" w:eastAsia="Times New Roman" w:hAnsi="Arial" w:cs="Arial"/>
                <w:color w:val="003399"/>
                <w:sz w:val="17"/>
                <w:szCs w:val="17"/>
                <w:lang w:eastAsia="es-AR"/>
              </w:rPr>
              <w:lastRenderedPageBreak/>
              <w:t xml:space="preserve">se alimenta del orden social en general para producir a su vez el corpus legal, compuesto de los códigos, las leyes y la jurisprudencia”.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Las normas jurídicas surgen como reacción del sistema ante la acelerada evolución de los fenómenos sociales, lo cual produce la necesidad de una regulación cada vez más compleja para evitar el caos en el relacionamiento intersubjetivo.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la rama del derecho civil, gran parte del derecho privado patrimonial ha girado en torno a la figura de la obligación. Este concepto jurídico, a su vez, se ha sustentado en una serie de presupuestos, tales como el objeto, los sujetos, el vínculo y (la tan discutida) causa de las obligaciones. Un aspecto interesante de las obligaciones es la forma en que la normativa jurídica va respondiendo a las necesidades sociales en el caso del cambio subjetivo, o lo que se suele denominar en la doctrina como “la transmisión de las obligaciones”. Y es que aquí la evolución ha sido lenta pero muy significativa: de la imposibilidad dogmática de ceder una obligación del antaño romano a las megatransferencias de carteras de crédito, a las absorciones y fusiones típicas de los mercados de capitales en la actualidad.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 medida que las relaciones económicas fueron ocupando el papel central en la actividad social, y en especial a partir del advenimiento de la sociedad capitalista a partir del siglo XVIII, quedó claro que la primitiva idea de la incesibilidad de la obligación y el carácter personalísimo de la misma tenía que ser dejada de lado por la concepción jurídica moderna. Y es que para un mundo basado en el libre mercado y en un imparable tráfico comercial que en principio estaba ligado a una clase (la de los comerciantes) pero que rápidamente iba llegando a todos los estratos sociales, el derecho debía encontrar respuestas más eficaces para facilitar el flujo de las transacciones.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Este trabajo tiene como punto de partida el siguiente: en el campo de la transmisión de las obligaciones se ha ido dando una evolución a través de la aparición de distintas figuras que regulan el fenómeno traslaticio, que es cada día es más importante y común. Así aparece la figura de la cesión de créditos, seguida posteriormente por el endoso, originalmente un método de traslación propio de los comerciantes pero que hoy se halla extendido a todos los ámbitos sociales. Cabe destacar que la evolución social no se detiene: por lo general lo hoy día lo que se transmite no es solo un crédito, sino un cúmulo de relaciones jurídicas que van con él. El caso típico y más común en nuestro medio es el de la transferencia de activos y pasivos; por ejemplo, si un banco vende su cartera de clientes a otro banco, no se transmite sólo un conjunto de “créditos”, sino más bien un cúmulo de relaciones contractuales que derivan del conjunto. Y desde el punto de vista jurídico está claro que no es lo mismo transferir un “crédito” que un “contrato”. Ello no ha escapado a los ojos de algunas legislaciones más avanzadas que han adoptado la figura de la “cesión del contrato” o “transmisión de la situación contractual”.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II. METODOLOGIA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 lo largo de la presente exposición, desarrollaremos un análisis de las figuras que conforman la cadena evolutiva de las instituciones de transmisión de las obligaciones. Para el efecto, el trabajo será dividido en tres partes: en la primera, nos referiremos a la cesión de créditos, figura existente en nuestro ordenamiento, realizando un minucioso análisis de la misma. Luego, haremos un breve estudio del endoso, que si bien se estudia dentro del derecho comercial, forma parte sin dudas del fenómeno de las transmisión de las obligaciones. Finalmente, trataremos a la figura de la cesión del contrato, figura que por su utilidad y actualidad creemos debe ser insertada en nuestro ordenamiento civil.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III. CESION DE CREDITOS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EVOLUCION HISTORICA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Antes de entrar a un análisis propiamente jurídico de la figura, no podemos dejar de mencionar la notable evolución que ha tenido la misma a través del tiempo. La cesión de créditos formó parte de la tradición jurídica de varias civilizaciones y fue adquiriendo el perfeccionamiento y la adhesión universal de legislaciones contemporáneas. La concepción de esta figura se ha ido perfeccionando y modificando con el transcurso del tiempo, como correctamente lo ha sintetizado Diez-Picazo: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Aunque la tradición romanista, partiendo de la idea de la personalización del vínculo, de su identificación por las personas entre quienes se establecía, y consiguientemente, de su sustancial transformación al cambiar las personas, consideraba imposible cualquier modificación de los sujetos y entendía por tanto, que este hecho entrañaba siempre una extinción de la obligación por novación, el Derecho Moderno ha admitido la conveniencia económica de la circulación de los créditos, de la misma manera que la de cualesquiera otros bienes y la producción </w:t>
            </w:r>
            <w:r w:rsidRPr="001B7F27">
              <w:rPr>
                <w:rFonts w:ascii="Arial" w:eastAsia="Times New Roman" w:hAnsi="Arial" w:cs="Arial"/>
                <w:color w:val="003399"/>
                <w:sz w:val="17"/>
                <w:szCs w:val="17"/>
                <w:lang w:eastAsia="es-AR"/>
              </w:rPr>
              <w:lastRenderedPageBreak/>
              <w:t>de este fenómeno sin especial consentimiento del deudor.</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punto de partida de nuestra síntesis histórica será Roma, cuna indiscutida del Derecho Civil moderno. Por más que en el primitivo Derecho Romano no se admitía la figura de la cesión de crédito debido al carácter personalísimo que los romanos atribuían a las obligaciones, encontramos en Roma los primeros gérmenes de este instituto. Los romanos al principio se mostraban reacios a la cesibilidad de obligaciones, ya que lo más importante para ellos era la persona del deudor, sin embargo, las exigencias sociales a través del paso del tiempo llevaron a la evolución del pensamiento jurídico romano, que quedó plasmado en el consecuente desarrollo de la figura jurídica.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Primeramente, los romanos concibieron la figura de la delegación del deudor. Sin embargo, dicha figura presentaba dos inconvenientes. En primer lugar, era necesario el consentimiento del deudor. Además, lo que se daba en realidad era el nacimiento de una nueva obligación, y no la continuación de la misma con el mero cambio subjetivo. Luego, con la procuratio in rem suam (procurador de sí mismo), ya en épocas del procedimiento formulario, en donde era admitida la representación judicial, el mandatario gestionaba el pago en interés propio. Como enseña Rezzónico, “Para conciliar las necesidades del comercio que exige la fácil y rápida transmisión de los créditos con el principio riguroso de la personalidad de la obligación, acudióse a un arbitrio que puede caracterizarse así: “el crédito en sí no se cede: se ceden sus acciones.” Como podemos ver, lo que ocurría era que el mandante encargaba al mandatario el cobro, sin embargo, percibido el cobro, el mismo era para provecho de éste y no del mandante. Esta figura también traía dificultades ya que las consecuencias del mandato podían dejar de tener eficacia, ya sea por muerte o revocación. A fin de paliar las deficiencias del sistema, se introdujo la notificación por parte del cesionario al deudor, lo cual implicaba que el deudor ya no podía hacer el pago a su antiguo acreedor. De acuerdo a Rezzónico, “una Constitución atribuida a Gordiano en el siglo III concedió al cesionario el medio de hacer irrevocable su mandato, notificando de la cesión al deudor (denuntiatio), para que no pagara a su antiguo acreedor.” Para perfeccionar más el instituto, se confirió luego una acción útil al cesionario.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Girard ha dicho que “sólo en plena época de Imperio Romano, hay una verdadera transmisión del crédito, la cual se realizaba no por el contrato de cesión concertado por el acreedor primitivo con el cesionario, sino por la notificación de esa cesión al deudor después de lo cual, el cedente no tenía ya acción de cobro del crédito y sí la tenía el cesionario”.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consecuencia, como bien explica Llambías,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esto significa que los romanos conocieron en los hechos la transmisión de créditos, porque era factible obtener un resultado práctico semejante al que hubiese derivado de una cesión. Pero, en teoría, se seguía repitiendo aún por los glosadores, muchos siglos después, que la obligación era un vínculo personal en el que no cabía un cambio de sujeto, salvo por vía de novación que es una idea muy distinta de la noción de transmisión.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la Edad Media, los glosadores sustentaban la intransmisibilidad del crédito. “Nomina adeo ossibus hominum inhaerent ut nunquam separentur…Non possunt separari a domino sicut nec anima a corpore”, lo cual quiere decir que “los créditos se adhieren a los huesos del hombre y son tan inherentes a él que nunca pueden ser separados…No pueden separarse de su dueño como no puede hacerlo el alma del cuerpo. La frase citada precedentemente resulta plenamente ilustrativa del concepto de incesibilidad imperante en el mencionado periodo histórico. Luego, la idea de transmisibilidad fue evolucionando en virtud del Estatuto Personal. Se produjo “una evolución del concepto personalísimo de la obligación a uno más objetivo”.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Con el paso del tiempo la necesidad de la inclusión de esta figura dentro de los ordenamientos positivos fue vista por legisladores de todo el mundo. Es así como en nuestros días prácticamente no se concibe la idea de la obligación separada de la posibilidad de la cesión de la misma. Existe uniformidad en la doctrina en cuanto a la aceptación de esta figura, sin embargo no en cuanto la ubicación metodológica de la misma dentro de los diversos ordenamientos jurídicos comparados. Según expone Rezzónico, “Los códigos modernos como el alemán, el suizo y el italiano de 1942, ubican la cesión de créditos dentro de la “teoría general de las obligaciones”.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CONCEPTO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cesión de crédito es una figura jurídica a raíz de la cual se produce un cambio en la persona del acreedor, manteniéndose subsistente el mismo vínculo obligacional entre un nuevo acreedor y el deudor originario. Se produce por lo tanto un cambio en el sujeto activo de la obligación, el acreedor. Realmente, la cesión implica no sólo el crédito cedido, sino el cúmulo de obligaciones y una serie de relaciones contractuales y jurídicas que vienen con él.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De Gásperi amplia el espectro conceptual de la figura, definiéndola como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xml:space="preserve">“Convención por la cual el titular de un derecho creditorio, llamado cedente, por una causa conforme a la ley, como la venta, dación en pago, permuta o donación, y sin necesidad del consentimiento del deudor, se obliga en favor de otra persona, cesionario, a transferir con la fuerza inherente al título del cual resulta su crédito, y los derechos accesorios, con la facultad de ejercerlos en idéntica medida que el podría hacerlo, contra el deudor cedido.”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Como podemos ver, esta definición no se limita a considerar al instituto como un contrato propiamente dicho, ni se limita a transmitir derechos creditorios. De Gásperi, como veremos más adelante, tenía claro el lugar que ocupaba la cesión de créditos en la construcción dogmática tradicional.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Para Llambías, la cesión de créditos “es un convenio por el cual el acreedor trasmite voluntariamente sus derechos a un tercero que pasa a investir la calidad de acreedor. Es una modificación subjetiva de la obligación”.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Para Diez-Picazo, la cesión de créditos “es una transmisión del crédito que se realiza por actos inter vivos y que cumple una función económica de circulación de los créditos dentro del tráfico o del comercio jurídico”. Esta definición presenta matices muy interesantes ya que pone un énfasis importante en la función económica de la cesión de créditos: la circulación de los mismos en el tráfico jurídico.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Nuestro Código Civil no define a la figura, sin embargo, en su art. 524 delinea los rasgos de la cesión dentro de nuestro ordenamiento civil: el acreedor puede transferir a título oneroso o gratuito su crédito, aun sin consentimiento del deudor, siempre que el crédito no tenga carácter estrictamente personal, o que su transferencia no esté prohibida por la ley.</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Demás está decir que la delineación de la figura es incompleta: la cesión típica es del crédito, pero en general pueden cederse todos los derechos siempre y cuando no sean intuitu personae (el caso de una pintura encargada a un pintor célebre) o de aquéllos derechos cuyas transmisiones no estén permitidas por ley (el caso de la cesión del derecho de paternidad sobre una criatura). En este sentido, el art. 537 que tiene como fuente el Proyecto de la Comisión Nacional de Codificación señala tajantemente que “las disposiciones de esta sección serán aplicables a la transferencias de otros derechos que no tengan regulación especial”, como por ejemplo la cesión de un derecho hipotecario o prendario.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Finalmente, podemos mencionar que el art. 524 de nuestro Código, a diferencia de su antecesor (Código de Vélez), no indica que la cesión sea “un contrato”, sino más bien una figura que regula la transmisión activa de la obligación. Ello a pesar de que en algunos artículos del Código, como por ejemplo el 528, se habla del “contrato”; estos deslices sin embargo se deben a la trasegación de la fuente argentina que se refería a un contrato. Como veremos más adelante, esto implica una innovación altamente positiva desde el punto de vista metodológico.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CARACTERES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 partir de lo enunciado anteriormente se puede hacer una enumeración de los caracteres de la cesión de créditos: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CONSENSUAL- la cesión se perfecciona a raíz del consentimiento entre el cedente y el cesionario, o del cedente propiamente en los casos que sea unilateral (donación). En este sentido, cabe destacar que el consentimiento del deudor no es necesario y no afecta el perfeccionamiento del acto.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FORMAL- si bien el Código no menciona expresamente, la cesión requiere la forma escrita.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UNILATERAL o BILATERAL- la cesión puede ser unilateral en caso de una cesión gratuita, en cuyo caso el cesionario no está obligado a nada (donación). Será bilateral en caso de tratarse de una cesión a título oneroso. En este caso, se establece la garantía por evicción.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INTER VIVOS- se realiza por actos inter vivos.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ELEMENTOS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elementos de la cesión de créditos son aquellos propios de un acto jurídico, regulados por los arts. 296 y sgts. del Libro II del Código Civil. El acto de cesión, en consecuencia, debe ser voluntario y debe realizarse con discernimiento, intención y libertad.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Voluntad jurídica libre – la voluntad expresada en el acto debe ser limpia; es decir, no debe estar viciada por dolo, error o violencia, o siquiera simulación y fraude. De lo contrario será nulo. De acuerdo a Moreno Rodríguez, “La </w:t>
            </w:r>
            <w:r w:rsidRPr="001B7F27">
              <w:rPr>
                <w:rFonts w:ascii="Arial" w:eastAsia="Times New Roman" w:hAnsi="Arial" w:cs="Arial"/>
                <w:color w:val="003399"/>
                <w:sz w:val="17"/>
                <w:szCs w:val="17"/>
                <w:lang w:eastAsia="es-AR"/>
              </w:rPr>
              <w:lastRenderedPageBreak/>
              <w:t>voluntad requiere cuatro elementos: tres internos: discernimiento, intención y libertad; y uno externo: su exteriorización: la falta de cualquiera de ellos hace involuntario al acto.” En caso que la cesión se haga por contrato, este elemento aparece en el momento de la oferta y aceptación, es decir en el consentimiento. Este contrato consensual se perfecciona por el sólo consentimiento de las partes intervinientes.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Capacidad- capacidad de obrar y poder de disposición por parte de los sujetos intervinientes en el acto de cesión.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Objeto- el contenido total o parcial del crédito.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forma del acto - es la exteriorización de la voluntad; la cesión de créditos es formal pero no solemne. Siguiendo a Moreno Rodríguez, “Los actos formales, no solemnes, solo requieren la formalidad prescrita a los efectos de la prueba (ad probationem).”</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NATURALEZA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cesión de créditos constituye un negocio de enajenación que tiene por objeto la adquisición del crédito por parte del cesionario. Se celebra intervivos y busca la “circulación de los créditos dentro del comercio jurídico”. Es un instrumento de vital importancia ya que permite una mayor percepción del crédito y una mayor rapidez en las operaciones. Tiene un rol preponderante dentro del ámbito económico por lo que debe ser regulado jurídicamente con la mayor precisión posible para dar mayor eficacia al instrumento.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COMPARACION METODOLOGICA CON EL CÓDIGO DE VELEZ</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Código Civil Paraguayo, Ley 1183/87, ha logrado notables progresos en cuanto a la metodología en la materia que nos concierne con respecto a su antecesor, el Código de Vélez, siguiendo en gran parte las furibundas críticas de los doctrinarios de ese país.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Código de Vélez ubicaba a esta figura en la sección dedicada a Contratos, es decir, se preveía al “contrato de cesión”. Ello respondía seguramente al hecho práctico de que lo común es que la cesión de crédito se haga por vía de un contrato. Pero aquí hay que aclarar dos cosas: (1) la cesión de créditos puede hacerse no solo a través de contratos, sino también por otros actos jurídicos; (2) el contrato no será jamás de “cesión de crédito”, sino que adquirirá la forma de otro contrato nominado o innominado. Por ejemplo, el contrato será de compraventa si es que se hace por precio, o será una donación si se hace gratuitamente, o es una permuta si se cambia una cosa por otra, etc.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ello la doctrina es prácticamente unánime al afirmar que es errónea la ubicación de la figura dentro de ese capítulo, es decir, como contrato. Ello es así ya que la figura debería de estar colocada dentro de un rubro más extenso, que abarque en su conjunto el problema de la transmisión de derechos o en la parte de las obligaciones. Como explica muy bien Llambías,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Pareciera así que el codificador sólo ha visto la figura contractual de la cesión de créditos, concepción que defiende Bibiloni, especialmente porque tal contrato no sólo puede referirse a la transferencia de créditos, sino también de otros derechos no necesariamente creditorios, como los derechos sucesorios, etc.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Además, como hemos visto, las normas que contiene el Código sobre transmisión de créditos se aplican también a otros derechos susceptibles de cesión.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otra parte, nuestro Código no ha escuchado todas las críticas de la doctrina, en especial la referida al nombre de la institución. En efecto, algunos autores afirman que existe una imprecisión terminológica, ya que en lugar de llamar a esta figura cesión de créditos, debería de habérsela llamado cesión de derechos, ya que articula una cesión sobre varios géneros de derechos. Nuestro Código, si bien prevé que su normativa se aplique a la cesión de derechos en general, sigue adoptando la denominación de “cesión de créditos”.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Ahora bien: el Código Civil Paraguayo ubica a la cesión de créditos en el Libro Segundo, De los Hechos Jurídicos y las Obligaciones, dentro del Capítulo III, de la Transmisión de las Obligaciones. Esto significa un notable paso adelante desde la perspectiva metodológica, ya que no se regula al mismo como contrato, sino que se lo hace desde su verdadera perspectiva: como el marco regulador de la transferencias de obligaciones entre los integrantes de la relación jurídica. Queda claro entonces que nuestro Código ha seguido el criterio apuntado por la doctrina en este sentido.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xml:space="preserve">Un último apunte puede hacerse respecto a la metodología del Código en esta sección. A nuestro criterio, el Código Civil Paraguayo se enfrenta en algunos casos con el problema de que tiene por origen diversas fuentes, disímiles entre sí. La sección referente a cesión de créditos, halla sus orígenes fundamentalmente en el Código de Vélez, pero a su vez tiene disposiciones de cuerpos jurídicos que tienen filosofías absolutamente diferentes en la materia, como el Código Civil Alemán (BGB) y el Código Civil Italiano de 1942. Ello produce sin dudas algunas dificultades en la práctica, ya que nos encontramos en casos ante disposiciones que no concuerdan perfectamente como partes ordenadas de un todo. Por ejemplo, el art. 537 de nuestro Código establece que las disposiciones referentes a cesión de créditos se aplicarán en lo pertinente, a la transferencia de otros derechos que no tengan regulación especial, este artículo encuentra su fuente en el Código Civil Italiano, sin embargo, dicho artículo no es parte del Código de Vélez, principal fuente de nuestro Código. Será sin dudas tarea de juristas de nuestro país dar solución a estas divergencias interpretativas.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SUJETOS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doctrina es uniforme al señalar que los sujetos intervinientes en la cesión son dos: el cedente y el cesionario, no así el deudor cedido. Esto resulta curioso ya que la figura del deudor aparentemente forma parte también del acto, por lo tanto resulta difícil comprender que el mismo sea simplemente un tercero en la relación jurídica. Pero no debemos olvidar que el acto de cesión es independiente de cualquier otro acto, inclusive del acto originario en virtud del cual el acreedor originario obtuvo el crédito del deudor. Lo actuado entre el cesionario y el cedente es res inter alios acta, por lo tanto no afecta al deudor cedido. El deudor es por lo tanto, un tercero en la cesión, sin embargo recibe el impacto de la misma. Como señala con claridad Alterini, el deudor no es parte aunque obviamente le concierne la transmisión misma. Recién con posterioridad a la notificación o a la aceptación, el deudor cedido pasa a estar involucrado en la transmisión.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Además del deudor, son considerados terceros todos aquellos a quiénes puede afectar la cesión, como ser el caso de los segundos cesionarios y los acreedores del cedente.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Como ya se ha expresado precedentemente, los sujetos intervinientes deben tener capacidad para celebrar el acto jurídico. En caso de incapaces o de personas jurídicas, será celebrado por medio de representantes.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Para la transmisión de créditos rigen las reglas de transmisión de bienes muebles, salvo aquellos que estén garantizados por hipoteca, ya que en tales supuestos rigen las normas previstas para la transmisión de bienes inmuebles. Si el crédito pertenece a un grupo de personas, se aplican las reglas correspondientes a obligaciones solidarias y mancomunadas, respectivamente.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OBJETO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objeto de la cesión de crédito es el crédito cedido. Conforme al art. 526 del Cód. Civil, la transferencia de un crédito comprende sus accesorios y privilegios, como así también la fuerza ejecutiva del título, si la tuviere. La cesión puede ser total o parcial. En caso de ser parcial, debe tratarse de una obligación divisible, susceptible de fraccionamiento.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Presupuestos: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crédito debe existir; ser real. Debe estar fundado en un título válido.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crédito debe ser transmisible.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NOTIFICACION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Como ya hemos visto, la notificación es un paso fundamental para que la cesión de crédito surta efectos respecto a terceros, pero no para el perfeccionamiento en sí del acto, ya que al ser la cesión de créditos un acto consensual, basta para su perfeccionamiento el simple acuerdo de las partes. La notificación de cesión debe dirigirse al deudor cedido o a su representante. En caso de tratarse de un incapaz, se dirige a su representante legal, lo mismo se aplica para el caso de las personas jurídicas. Si hubieren varios deudores, en caso de tratarse de una obligación divisible, la notificación debe realizarse a todos de manera a lograr la cesión de toda la deuda. Si se notificare solamente a un deudor, la cesión será válida en relación a él. Si se tratare de una obligación indivisible, hay que notificar a todos los deudores. En caso de ser una obligación solidaria, es suficiente la notificación a un sólo deudor para lograr el perfeccionamiento con respecto a todos.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La notificación debe ser hecha al domicilio real del deudor, y no aquel que constituyó especialmente para el contrato a que se refiere la cesión. No debemos olvidar que la cesión es un acto jurídico independiente de aquél que dio origen a la obligación originaria.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notificación debe incluir aquellos datos que permitan la identificación y el conocimiento de la situación por parte del deudor, pero no debe incluir aquellos datos específicos y modalidades del contrato que no interesen a terceros.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Código Civil establece, en su art. 528, que “la notificación debe hacerse, bajo pena de nulidad, por disposición judicial, por medio de notario, por telegrama colacionado u otro medio auténtico, y se transcribirá en ella la parte substancial del contrato.”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EFECTOS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líneas generales, nuestro Código adopta un criterio dual, y entre las partes, la transferencia se perfecciona por el solo consentimiento, sin embargo con respecto a terceros es necesaria la notificación o aceptación correspondiente.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Al mencionar los efectos de la cesión debemos enfocar el tema de acuerdo a un triple punto de vista: (1) en relación al cedente con el deudor cedido, (2) en relación al cedente con el cesionario, y, (3) en relación al cesionario y el deudor cedido.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EN RELACION AL CEDENTE CON EL DEUDOR CEDIDO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Para referirnos a los efectos en este caso particular, debemos hacer una distinción entre los efectos que se producen antes y después de la notificación. Si el deudor paga antes de la notificación, queda liberado de la obligación. En este sentido, el art. 534 del Código Civil establece que “el deudor cedido quedará libre si paga al cedente antes de la notificación o aceptación del traspaso, salvo lo dispuesto sobre colusión o culpa grave”.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deudor se halla facultado por ley a liberarse de la obligación si paga al cedente antes de la notificación o la aceptación del traspaso. Ello es comprensible, ya que se presume que antes de ser notificado el deudor no tiene conocimiento de la existencia de la cesión, por lo tanto si ya está preparado para pagar, es lógico que lo haga a su acreedor originario. Otras causas pueden extinguir la obligación, pero se establece una condición para que ellas surtan efecto: que sean anteriores al traspaso del crédito. Se puede dar una novación de la deuda, la remisión, la confusión, o bien, la imposibilidad de pago.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Asimismo, el Código establece que el deudor puede aducir otras excepciones y defensas, como por ejemplo, la nulidad del acto originario, la impugnación por falta de causa o por falsedad, como así también puede oponer la prescripción del acto.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Una vez ocurrida la notificación, desaparece el vínculo entre el cedente y el deudor cedido, y queda sustituido por el vínculo entre el cesionario y el deudor cedido. Vemos aquí el rol que juega la notificación para hacer efectiva la cesión con respecto al deudor, que recién desde este momento empieza a ser afectado por la cesión de créditos realizada.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2. EN RELACION AL CESIONARIO Y AL DEUDOR CEDIDO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este caso, se mantiene la misma relación obligacional que existía entre el cedente y el deudor cedido. Sólo se produce el cambio de la persona del acreedor, un giro en la posición obligacional subjetiva.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deudor está facultado a oponer al cesionario causas de extinción de obligación y de presunción de liberación contra el cedente, antes de la notificación o de la aceptación. Igualmente, puede oponer ante su nuevo acreedor aquellas excepciones y defensas que podía oponer ante su acreedor originario.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cesionario es amparado por varios derechos ante el deudor. Se halla facultado a realizar actos conservatorios del crédito, inclusive antes de la notificación. Ello resulta lógico ya que una vez gestada la transmisión cae debajo de la órbita de su exclusivo interés la conservación del crédito para lograr la eventual percepción del cobro. Asimismo, tiene el derecho a reclamar el cobro de la deuda al deudor a través de un juicio ejecutivo, si se diera el caso, pues como ya hemos mencionado precedentemente, el crédito se transmite con sus accesorios y la fuerza ejecutiva, si tuviera.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3. EN RELACION AL CEDENTE Y CESIONARIO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relación entre el cedente y el cesionario entraña la consecuencia directa de la cesión, lo cual resulta lógico, ya que como hemos dicho, son los dos sujetos de la cesión. El cedente tiene la obligación de transmitir el crédito, sin embargo la relación obligacional perdura, solo se produce un cambio subjetivo, es decir, en la persona del acreedor.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CASO DE COLUSION ENTRE EL CEDENTE Y DEUDOR</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Nuestro Código Civil prevé una garantía al cesionario víctima de colusión entre el cedente y el deudor. La colusión, como es bien sabido, supone un pacto en perjuicio a un tercero. El art. 529 establece que “Si los hechos y las circunstancias del caso demostraren una colusión del deudor con el cedente, o una imprudencia grave de aquel, el traspaso de crédito, aunque no estuviere notificado ni aceptado, surtirá respecto de él todos sus efectos.” Del artículo transcripto podemos inferir que si hubiere colusión entre el cedente y el deudor para perjudicar al cesionario, el deudor debe pagar otra vez al cesionario, y el cesionario tiene el derecho a repetir el anterior pago al cedente.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segunda parte del artículo establece que la disposición se aplica también a un segundo cesionario culpable de mala fe, o de una imprudencia grave. La cesión, por más que no esté notificada o aceptada, podrá oponérsele por el solo conocimiento que de ella hubiere adquirido. Cabe destacar que se equipara el razonamiento en ambas circunstancias. Sin embargo, como señala Boffi Boggero, “no basta el simple rumor, sino que es necesario un conocimiento cierto, por indirecta que sea la vía”. Se establecen por lo tanto dos excepciones al principio general: colusión e imprudencia grave, por lo tanto, no siendo esos casos, rige el principio general que exige la notificación o la aceptación correspondiente al deudor.</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CASO DE QUIEBRA DEL CEDENTE Y DE CONCURSO DE VARIOS CESIONARIOS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Nuestro Código se adhiere a la tendencia de varias legislaciones extranjeras al proteger al a otros acreedores del cedente como así a otros cesionarios en caso de quiebra del cedente. Queda establecido que una vez producida la quiebra del cedente, ni la notificación ni la aceptación de la transmisión producirán efecto alguno para los acreedores. Por lo tanto aunque estos formalismos se hubieran efectuado, si fueron posteriores a la declaración de quiebra quedan privados de eficacia.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Ahora bien: por diversas razones, generalmente por mala fe, puede darse la situación de que diversos cesionarios se presenten a reclamar la titularidad del crédito cedido. Este caso también pueden presentarse por descuidos del cedente, quien al realizar el acto de transmisión, no tomó todas las precauciones necesarias, razón por la cual se puede presentar una confusa situación en torno a determinar quien es el nuevo acreedor del crédito en cuestión.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Nuestra legislación resuelve de manera clara y contundente este asunto, otorgando el derecho al crédito a quien hubiese hecho la notificación al deudor o hubiese recibido la correspondiente aceptación. La fecha de la notificación por lo tanto es determinante para deducir la calidad de acreedor, aún antes de la fecha de cesión. Ello, enseña Llambías, es lógico, pues esta circunstancia es la que opera “erga omnes” el traspaso del crédito.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Del artículo 532 pueden surgir otras dos situaciones en el caso de que las notificaciones hubiesen sido efectuadas en la misma fecha. En ese caso cabe distinguir si en las actas consta o no la hora. En caso de no constar la hora, se equipara la situación de los cesionarios que reclaman el crédito. Ahora también puede darse el caso de que sí consten en acta los horarios, en ese caso, se considera el orden de prelación, y se otorga el derecho correspondiente a la primera hora consignada.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este punto nuestra legislación se aparta de lo establecido por la legislación argentina, que considera que toda notificación o aceptación que tuviera lugar en la misma fecha equipara los derechos de los cesionarios, y que la diferencia horaria no tiene incidencia en la repartición final del crédito. En este caso se fracciona el crédito entre los cesionarios con derecho a reclamarlo. </w:t>
            </w:r>
            <w:r w:rsidRPr="001B7F27">
              <w:rPr>
                <w:rFonts w:ascii="Arial" w:eastAsia="Times New Roman" w:hAnsi="Arial" w:cs="Arial"/>
                <w:color w:val="003399"/>
                <w:sz w:val="17"/>
                <w:szCs w:val="17"/>
                <w:lang w:eastAsia="es-AR"/>
              </w:rPr>
              <w:br/>
              <w:t>LOS TERCEROS</w:t>
            </w:r>
            <w:r w:rsidRPr="001B7F27">
              <w:rPr>
                <w:rFonts w:ascii="Arial" w:eastAsia="Times New Roman" w:hAnsi="Arial" w:cs="Arial"/>
                <w:color w:val="003399"/>
                <w:sz w:val="17"/>
                <w:szCs w:val="17"/>
                <w:lang w:eastAsia="es-AR"/>
              </w:rPr>
              <w:br/>
              <w:t xml:space="preserve">Los terceros son todas aquellas personas ajenas en sí al acto de transmisión, pero cuyos efectos podrían alcanzarle de cierta manera. Por más que parezca curioso, como ya dijimos, el deudor cedido es en la cesión de créditos un tercero.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Pero lo que a nosotros aquí nos concierne es desentrañar la incidencia de la cesión sobre los terceros.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Si la transferencia del crédito que ocurre tiene su causa en una ley o en una sentencia, se la opone a terceros sin formalidad alguna. En este caso, la cesión opera de pleno derecho, ipso jure, por lo tanto surte efectos por sí misma. </w:t>
            </w:r>
            <w:r w:rsidRPr="001B7F27">
              <w:rPr>
                <w:rFonts w:ascii="Arial" w:eastAsia="Times New Roman" w:hAnsi="Arial" w:cs="Arial"/>
                <w:color w:val="003399"/>
                <w:sz w:val="17"/>
                <w:szCs w:val="17"/>
                <w:lang w:eastAsia="es-AR"/>
              </w:rPr>
              <w:lastRenderedPageBreak/>
              <w:t>La solución del Código resulta razonable debido al carácter coactivo de las leyes y sentencias.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Ahora bien, para todos los otros casos referidos a aquellos terceros que tuvieren un interés legítimo en objetar la cesión, con la finalidad de conservar aquellos derechos adquiridos con posterioridad a la misma, la cesión recién se produce a través de la notificación del traspaso al deudor o de su correspondiente aceptación. Hasta ese momento, la cesión no ha existido para los terceros.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EVALUACIÓN DE LA FIGURA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Hasta aquí hemos hecho una descripción teórica de la figura de la cesión de créditos. Sin embargo, es menester efectuar una evaluación de la misma y analizar sus puntos positivos y sus deficiencias.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Desde una óptica, la cesión de créditos significa un paso fundamental en la evolución jurídica de la transmisión de las obligaciones. Sin dudas, la adopción de esta figura ha permitido en su momento el desarrollo del intercambio comercial y del tráfico jurídico. Así, la cesión de créditos ha sido fundamental y es sumamente necesaria.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Sin embargo, la figura plantea dos problemas desde el punto de vista de la realidad fáctica. La primera es que la cesión de créditos no abarca la actual dinámica del mundo de negocios. Es más común encontrar la transferencia de verdaderas “transmisiones de situaciones contractuales” que de un solo crédito. Tal es el caso de las absorciones de entidades financieras, en las que carpetas enteras de tarjetas de crédito son transferidas a otra entidad. En esta situación no se produce la mera “cesión de un crédito” sino de un cúmulo de relaciones complicadas.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segundo problema de la cesión de créditos es que a pesar de sus ventajas, continua siendo un mecanismo lento para transmitir obligaciones: presupone tiempo para celebrar acuerdos, reuniones para contratar, y además el engorroso trámite de las notificaciones. Supongamos por un momento que se transfieren 250 títulos de crédito de diversos deudores: debemos realizar 250 notificaciones!! Es a este problema de la lentitud de cesiones comunes que el derecho respondió con otra figura jurídica: el endoso de los papeles de comercio.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IV. ENDOSO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ORIGENES Y CARACTERIZACION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endoso surgió a medida que operó la evolución de relaciones mercantiles y fue necesario crear un mecanismo que diera mayor rapidez y simplificara las mismas. Como bien enseñan Bonfanti y Garrone, el endoso penetró en la praxis del comercio entre fines del siglo XVI y comienzos del siglo XVII. Esta figura tiene una gran utilidad práctica, ya que aquel que tiene una letra por lo general la destina a la circulación. Siguiendo a Messineo, decimos que la función de la letra es de la movilización del crédito, lo que trae un camino de desplazamiento de la letra de cambio, con un número de endosos teóricamente ilimitado que apunta al cumplimiento de finalidades diversas.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endoso, que es un medio de transmisión de un título de crédito, está incluido en nuestro Código Civil, a diferencia de lo que ocurre en Argentina, ya que el Código de Vélez omite regulación en lo referente a este instituto quedando regulado dentro del Código de Comercio.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Con respecto al concepto del endoso, Luis A. Argaña lo define como la fórmula breve y lacónica o la mera firma del endosante inserta en la misma letra de cambio, por el cual el tenedor legítimo transmite la propiedad del documento a favor de un tercero. El endoso se constituye así en un medio de transmisión del derecho cartular muy utilizado en nuestros días por la facilidad y rapidez que ofrece.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endoso produce, según la doctrina, tres efectos: (1) legitimante, (2) traslativo y (3) vinculante. Legitimante en el sentido de que el endosatario queda legitimado para ejercer los derechos y potestades cambiarias que derivan del título. Queda por tanto habilitado para ejercer el derecho cartular, es decir, aquel derecho que deriva del elemento material del título, con todo aquello que esté consignado literalmente en el. Además, resulta claro que al ser el endoso un medio de transmisión de títulos de créditos, produzca un efecto traslativo ya que opera la transmisión del título de crédito entre los sujetos entre los cuales se opera. El carácter vinculante surge del hecho que el endoso produce en el endosante la obligación de pagar lo que con su firma se compromete. Por lo tanto, en virtud del endoso, el endosante se está “transformando en garante de la obligación cambiaria, cuando ella se torne exigible”.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RELACION ENTRE EL ENDOSO Y LA CESIÓN DE CRÉDITOS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endoso se diferencia de la cesión en que éste es un acto unilateral, a diferencia de la cesión, que es un acto </w:t>
            </w:r>
            <w:r w:rsidRPr="001B7F27">
              <w:rPr>
                <w:rFonts w:ascii="Arial" w:eastAsia="Times New Roman" w:hAnsi="Arial" w:cs="Arial"/>
                <w:color w:val="003399"/>
                <w:sz w:val="17"/>
                <w:szCs w:val="17"/>
                <w:lang w:eastAsia="es-AR"/>
              </w:rPr>
              <w:lastRenderedPageBreak/>
              <w:t>bilateral, ya que se perfecciona con el consentimiento de las partes. El endoso se configura como una abstracción, ya que se celebra independientemente de la causa, a diferencia de la cesión, que siempre lleva consigo una causa. Además, mientras que la cesión transfiere una obligación real, el endoso tiene a su cargo la transmisión de una obligación representada en el título, de un derecho cartular, que reúne los caracteres de necesario, literal y autónomo. Como explican Bonfanti y Garrone, “con el endoso, se transfieren aquellos derechos inherentes a la letra, mientras que la cesión transfiere los derecho cambiarios del cedente”.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Ahora bien, la figura del endoso como mecanismo de transferencia de las obligaciones, si bien tiene sus aspectos positivos, tiene el inconveniente que solo puede aplicarse a los títulos de crédito, y en especial, a los títulos de crédito “a la orden”, como los cheques o los pagarés. Pero esta limitación, si bien es cualitativa, no es cuantitativa, ya que una inmensa cantidad de operaciones comerciales se efectúan diariamente a través del endoso.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títulos de crédito a la orden pueden definirse, como “otra figura del derecho de crédito que por oposición a los títulos al portador lleva el nombre del primer tomador, sujeto determinado, y además la cláusula “a la orden” siquiera también títulos, como la letra de cambio, cheque circular, vale bancario, etc., que por ser constitucionalmente a la orden, se sobreentiende en ellos”.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Nuestro Código Civil, en la sección referente a los títulos a la orden, que encuentra su fuente principal en el Código Italiano y en el Anteproyecto de De Gásperi, establece que aquel que posea un título a la orden endosado a su favor, está habilitado a ejercer los derechos mencionados en él. Como señala Pangrazio, “la omisión en el endoso del nombre del endosatario que es beneficiario de la transferencia del título no afecta su derecho, pues la posesión del título lo individualiza implícitamente como endosatario”.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endoso no podrá estar sujeto a condición alguna, y se considera nulo al endoso parcial, de acuerdo con el art. 1524 del Cód. Civil. El hecho de estar sujeto a una condición no permitiría que circule con los efectos económicos a los cuales fue creado, razón por la cual el instituto no tendría una verdadera utilidad o razón de ser. El endoso confiere la transmisión de todos aquellos derechos inherentes al título, siguiendo la idea de Pangrazio, ello es así en virtud de que los derechos accesorios siguen al principal. Si el título es endosado en blanco, quien lo posee podrá completarlo con su nombre o con el de otra persona. También podrá endosarlo nuevamente o transmitirlo a un tercero.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Según Messineo, el derecho que concede el endoso es autónomo, en cuanto el deudor de la prestación no puede oponerle las excepciones personales que habría podido oponer al endosante, o a los otros endosantes anteriores”. Aquí notamos otra diferencia con lo que ocurre en la cesión de créditos, en donde en virtud al art. 535, el deudor puede oponer al cesionario las mismas excepciones y defensas que podía oponer al cedente. Esta disposición tiene su origen en el Código Argentino, mientras la referente al endoso encuentra su origen en el Código Italiano y el Anteproyecto de De Gásperi. Notamos una vez más una dicotomía presente entre las figuras de nuestro Código, producto de la multiplicidad de fuentes que siempre afecta a toda codificación.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Otro aspecto importante para el estudio que efectuamos es el caso que la adquisición de un título a la orden se de por otro medio que no sea el endoso; en este caso, rigen los efectos de la cesión. Aquí hay nuevamente un punto de contacto entre las figuras estudiadas.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EVALUACIÓN DE LA FIGURA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Vemos por lo tanto que el endoso, que opera como eficaz medio de transmisión de títulos de crédito a la orden, constituye una herramienta efectiva para ayudar a la circulación. Es un método sencillo que permite el cambio del sujeto activo sin mayores complicaciones u enredos. Sin embargo, pensamos que pese a la notable utilidad de este instrumento, no cumple a cabalidad con las exigencias del mundo actual, ya que se limita a la transmisión de un derecho cartular.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vida social exige más al derecho, con sus complejas transferencias: la respuesta entonces se da a través de una figura nueva, la cesión del contrato.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V. CESION DE CONTRATOS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CARACTERIZACIÓN Y ANTECEDENTES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cesión de contratos es una figura compleja que no forma parte de nuestro ordenamiento jurídico (ni del argentino). Sin embargo, ha sido ampliamente recomendada por la doctrina, y ha sido adoptada por diversos ordenamientos jurídicos que ya la conciben como una figura imprescindible para estar a la vanguardia de las </w:t>
            </w:r>
            <w:r w:rsidRPr="001B7F27">
              <w:rPr>
                <w:rFonts w:ascii="Arial" w:eastAsia="Times New Roman" w:hAnsi="Arial" w:cs="Arial"/>
                <w:color w:val="003399"/>
                <w:sz w:val="17"/>
                <w:szCs w:val="17"/>
                <w:lang w:eastAsia="es-AR"/>
              </w:rPr>
              <w:lastRenderedPageBreak/>
              <w:t xml:space="preserve">necesidades sociales. En este sentido, el Código Civil Italiano incluye esta figura, al igual que el portugués de 1967 y el checoslovaco. En América Latina, el Código de Comercio colombiano de 1967, al igual que el Código Civil Boliviano y el peruano también lo incluyen, y asimismo el Proyecto de Código Civil Unificado de la Argentina de 1998.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 importante destacar que De Gásperi, en su Anteproyecto de Código Civil, previó la figura de la cesión de contrato, copiando literalmente y tomando como fuente al Código Civil Italiano. La ubicó dentro del Libro Segundo, De los Contratos en General.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art. 1075 del Anteproyecto establecía: “Cada una de las partes podrá sustituir a sí misma un tercero en las relaciones derivadas de un contrato con prestaciones recíprocas, si éstas no hubieren sido todavía ejecutadas, con tal que la otra parte consienta en ello”.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la apostilla al citado artículo, el eminente jurista citado señalaba que debe tratarse de contratos bilaterales con prestaciones recíprocas ya que “solo por contratos de tal naturaleza puede transferirse un complejo unitario constituido por derechos y obligaciones por parte del cedente.” Sin embargo, en contratos unilaterales sólo se puede ceder la posición de acreedor o deudor, en virtud del cual estamos ante una cesión de crédito o una sucesión a título particular. Además, es muy importante acotar que el cesionario “substituye al cedente en la misma fuente reguladora del desarrollo y de la ejecución de las relaciones antedichas, sometiéndose a ella en igual modo que lo estaba, antes de la cesión, el cedente”.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decisión de incluir a la figura tomada por De Gásperi fue dejada de lado por la Comisión Redactora final, sin explicación alguna. Tal vez ello se debió al carácter novedoso del instituto, absolutamente desconocido a nivel doctrinario en nuestro país. Hubo, si se quiere, una carencia de visión de futuro, lo cual hubiese permitido la inclusión de este instituto en nuestro Código.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CONCEPTO Y CARACTERES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El contrato de acuerdo con la concepción jurídica moderna es “un negocio jurídico de carácter bilateral cuyo efecto consiste en constituir, modificar o extinguir una relación jurídica patrimonial”. De él derivan una serie de derechos y obligaciones que los contratantes pactan a cumplir en las relaciones que establece. Por lo tanto, es muy importante que dichas relaciones sean transmitidas dentro de un marco que permita la buena fe y la estabilidad en las relaciones. Según señala Messineo, el contrato es susceptible de ser cedido en su conjunto, después de su formación y antes de su ejecución. Alterini dice que “la transmisión del contrato implica la sustitución del contratante por un tercero, que se coloca en la misma situación jurídica que el transmitente” y que se trata pues de “la transferencia integral de la situación jurídica generada por el contrato”.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figura jurídica de la que hablamos ha sido objeto de estudio de varios doctrinarios y tema de conferencias y seminarios jurídicos. Todo ello ha contribuido a un gran avance en el estudio de la figura. El Segundo Encuentro de Abogados Civilistas de Santa Fe, reunido en 1988, elaboró la siguiente definición de la cesión del contrato: “La cesión del contrato consiste en la transmisión de la posición contractual del cedente a un tercero, quien entra en su lugar y pasa a ocupar su situación jurídica en aquél.” La utilidad práctica de este instituto “reside precisamente en reducir el dispendio y la multiplicación de actos que de otra manera serían necesarios (cesión de crédito y asunción de deuda) para efectuar la cesión con eficacia también respecto del cedido”.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Siguiendo la postura de Alterini, tenemos el contrato básico, que es aquel que el cedente transmite. El cedido es la otra parte interviniente en el contrato básico, y el cesionario es el tercero. De acuerdo a Alterini, la transmisión puede darse por el consentimiento de las partes, sin embargo también puede ocurrir por imperio de la ley. Cazeaux y Trigo Represas sin embargo sostienen que “es indispensable que en la transmisión del contrato, concurra el consentimiento de los tres participantes.”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IMPORTANCIA PRÁCTICA Y UTILIDAD</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importancia de este instituto se hace cada vez más notoria en nuestros días, a raíz del crecimiento y volumen de las actividades comerciales y de las transacciones nacionales, internacionales y multinacionales. Su necesidad práctica ha sido encarecida por Larenz, quien pone el ejemplo de lo que ocurre en la adquisición de una empresa, con los contratos de arrendamiento de trabajo o de suministros que se transmiten al adquirente”.</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Alterini igualmente recalca su utilidad y la necesidad de preverlo expresamente en la legislación: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el mundo real de los negocios actuales, que suele pertenecer a los megacontratos, es frecuente que por </w:t>
            </w:r>
            <w:r w:rsidRPr="001B7F27">
              <w:rPr>
                <w:rFonts w:ascii="Arial" w:eastAsia="Times New Roman" w:hAnsi="Arial" w:cs="Arial"/>
                <w:color w:val="003399"/>
                <w:sz w:val="17"/>
                <w:szCs w:val="17"/>
                <w:lang w:eastAsia="es-AR"/>
              </w:rPr>
              <w:lastRenderedPageBreak/>
              <w:t>diversas causas –dificultades operativas, exigencias de tecnología que no pueden ser satisfechas, cambio del giro empresario, etc.- uno de los contratantes quiera separarse del contrato en curso y colocar a un tercero en su misma posición contractual.”</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EFECTOS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Cabe efectuar, en primer término, un distingo entre el contrato de cesión y la transmisión del contrato básico. El contrato básico es aquel contrato que será transmitido a un nuevo cesionario, mientras el contrato de cesión será aquel a través del cual se transmita la situación contractual de una parte del contrato, sería la herramienta utilizada para efectuar la transmisión integral del paquete de relaciones jurídicas comprendidas dentro de un contrato, que varían en cantidad y complejidad de acuerdo a cada caso particular.</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Con el contrato de cesión el cesionario adquiere la posición jurídica que tenía el cedente en el contrato objeto de la cesión. Esto implica que el cesionario adquiere todos los derechos, obligaciones y atribuciones que originariamente pertenecían al cedente. Se convierte por la tanto en el adquirente de aquella amplia trama de relaciones jurídicas que derivan de un contrato. Pasa a convertirse en el titular de derechos y facultades que emanan del contrato, y también queda obligado por las obligaciones que le imponga el mismo.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NECESIDAD DE SU ADOPCIÓN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Con la figura de la cesión del contrato se logra simplificar el proceso de transmisión de obligaciones, ya que al utilizar esta figura, englobamos ya en la misma el paquete de derechos y obligaciones, y todo lo que puede comprender el contrato, en lugar de estar realizando varios contratos que regulen separadamente los aspectos del acto cedido. Para reforzar esta posición, citamos a Messineo, “en el sentido de que para hacer circular el negocio de compraventa sin tener que recurrir a una serie de contratos sobre el mismo objeto, puede servir la cesión del único contrato de compraventa ya estipulado”.</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realidad comercial del mundo actual exige pues la adopción de figuras más acordes con la misma y con mayor capacidad de reacción. Sin dudas que al eliminarse las previsiones hechas por De Gásperi se perdió una brillante oportunidad para el efecto. Sin embargo, futuras modificaciones a nuestro derecho privado sin duda deberían adoptar la figura de la cesión del contrato.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VI. CONCLUSION</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 lo largo de la presente monografía hemos realizado un análisis de la evolución de los institutos jurídicos que han regulado de alguna forma la transmisión de obligaciones. La cesión de créditos, sin lugar a dudas, es útil en nuestro ordenamiento jurídico y ha sido una eficaz herramienta para el traspaso de créditos hasta este momento. Sin embargo, las exigencias de las transacciones comerciales cada vez más vigorosas y de mayor volumen demandan la necesidad de un cambio. Ya prácticamente no se cede únicamente un crédito, sino todas las relaciones jurídicas que vienen con él, con sus correspondientes derechos y obligaciones. Como se ha dicho, la cesión de crédito es respecto de la cesión del contrato un instrumento práctico notablemente más atrasado desde el punto de vista de la técnica jurídica, y más pobre de efectos desde el punto de vista del contenido, porque hace circular el crédito pero no el contrato íntegro ni la relación obligatoria consiguiente. Por lo tanto, esta figura ya no cumple a cabalidad con las exigencias sociales de la transmisión de las obligaciones.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endoso, figura que también hemos visto en este ensayo, es un medio útil y eficaz para el traspaso de obligaciones representadas en un título, y ha facilitado enormemente su circulación. Sin embargo, en nuestra perspectiva, es sólo un eslabón más dentro de la cadena evolutiva.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Por ello, se hace cada vez más imperiosa la necesidad de incluir la figura de la cesión de contratos dentro de nuestro ordenamiento jurídico, siguiendo la corriente italiana. Sin dudas, esta figura permitirá al circulación del contrato, es decir, la transferencia del negocio a un tercero, del conjunto de posiciones contractuales entendido como resultante unitario de derechos y obligaciones orgánicamente interdependientes.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La inclusión de esta figura en nuestro ordenamiento permitirá adelantarnos al caos que puede generar la carencia o vacío de regulación de un traspaso de contratos. También permitirá la simplificación de las relaciones jurídicas y será un instrumento de gran utilidad práctica que permitirá ahorrar tiempo y dinero a las partes contratantes.</w:t>
            </w:r>
          </w:p>
          <w:p w:rsidR="001B7F27" w:rsidRPr="001B7F27" w:rsidRDefault="001B7F27" w:rsidP="001B7F27">
            <w:pPr>
              <w:spacing w:before="100" w:beforeAutospacing="1" w:after="240"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 menester, entonces, que se incluya a esta figura haciendo un minucioso análisis previo de las fuentes que serán utilizadas, de manera a construir una figura sólida y coherente, correctamente enmarcada dentro de nuestro ordenamiento positivo. No debemos olvidar jamás que “el derecho halla sus fuentes materiales en las distintas </w:t>
            </w:r>
            <w:r w:rsidRPr="001B7F27">
              <w:rPr>
                <w:rFonts w:ascii="Arial" w:eastAsia="Times New Roman" w:hAnsi="Arial" w:cs="Arial"/>
                <w:color w:val="003399"/>
                <w:sz w:val="17"/>
                <w:szCs w:val="17"/>
                <w:lang w:eastAsia="es-AR"/>
              </w:rPr>
              <w:lastRenderedPageBreak/>
              <w:t xml:space="preserve">necesidades de un pueblo en un momento determinado que hacen surgir a un precepto obligatorio”.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BIBLIOGRAFIA</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ALTERINI, Atilio Aníbal, “Contratos Civiles, Comerciales y de Consumo,” Edit. Abeledo-Perrot, Buenos Aires, 1998</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ALTERINI, AMEAL, CABANA, “Curso de Obligaciones,” Tomo II, Edit. Abeledo-Perrot, Buenos Aires, 1992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Argaña, Luis A., “Tratado de Derecho Mercantil,” Tomo III, Edit. El Foro, Asunción, 1993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BOFFI BOGGERO, Luis Maria, “Tratado de las Obligaciones,” Tomo III, Edit. Astrea, Buenos Aires, 1985</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BONFANTI-GARRONE, “De los Títulos de Crédito,” Editorial Abeledo-Perrot, Buenos Aires, 1976</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CAZEAUX, TRIGO REPRESAS, “Compendio del Derecho de las Obligaciones,” Edit. Librera Editora Platense S.R.L., La Plata, 1996</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DE GASPERI, Luis, “Anteproyecto de Código Civil,” Edit. El Gráfica, Asunción, 1964</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DIEZ-PICAZO, Luis, “Fundamentos del Derecho Civil Patrimonial,” Tomo II, Edit. Civitas, Madrid, 1996</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DIEZ-PICAZO, GULLON, “Instituciones de Derecho Civil,” Volumen I, Edit. Tecnos, S.A., Madrid, 1995</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GOMEZ LEO, Osvaldo, “Instituciones del Derecho Cambiario,” Tomo I, Edit. De Palma, Buenos Aires, 1988</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LLAMBIAS, Jorge Joaquín, “Tratado de Derecho Civil, Obligaciones,” Tomo II, Edit. Perrot, Buenos Aires, 1993</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MESSINEO, Francesco, “Doctrina General del Contrato,” Tomo II, Ediciones Jurídicas Europa-América, Buenos Aires, 1986</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MORENO RUFFINELLI, José Antonio, “Derecho Civil, Parte General Personas,” Edit. Intercontinental, Asunción, 1999</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MORENO RODRIGUEZ, José Antonio, “Curso de Derecho Civil, Hechos y Actos Jurídicos,” Edit. Intercontinental, Asunción, 1991</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PANGRAZIO, Miguel Angel, “Código Civil Paraguayo Comentado,” Intercontinental Editora, Asunción, 1990</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REZZONICO, Luis Maria, “Estudio de las Obligaciones en Nuestro Código Código Civil,” Edit. Perrot, Buenos Aires, 1956</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SILVA ALONSO, Ramón, “Derecho de las Obligaciones en el Código Civil Paraguayo,” Intercontinental Editora, Asunción, 2000</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2"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5" w:name="25"/>
            <w:bookmarkEnd w:id="25"/>
            <w:r w:rsidRPr="001B7F27">
              <w:rPr>
                <w:rFonts w:ascii="Arial" w:eastAsia="Times New Roman" w:hAnsi="Arial" w:cs="Arial"/>
                <w:b/>
                <w:bCs/>
                <w:color w:val="009933"/>
                <w:sz w:val="20"/>
                <w:szCs w:val="20"/>
                <w:lang w:eastAsia="es-AR"/>
              </w:rPr>
              <w:t>"Lógica de la Sentencia"</w:t>
            </w:r>
            <w:r w:rsidRPr="001B7F27">
              <w:rPr>
                <w:rFonts w:ascii="Arial" w:eastAsia="Times New Roman" w:hAnsi="Arial" w:cs="Arial"/>
                <w:color w:val="003399"/>
                <w:sz w:val="17"/>
                <w:szCs w:val="17"/>
                <w:lang w:eastAsia="es-AR"/>
              </w:rPr>
              <w:br/>
              <w:t>Bettina Marcela Legal Balmaceda*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Hermenéutica Juridica, Epistemologia y Logica Juridica</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3"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lógica antigua, las premisas y distinciones permitían inventar los medios dialécticos con lo cuales llevar adelante una argumentación.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época moderna, fue con la Revolución Francesa (1789), cuando se exigió, como un imperativo, la necesidad de fundamentar las sentencias. No obstante, el imperativo legal en Francia se dio recién en la primera mitad del siglo XIX (tercera década) y ello con la aparición de gobiernos cada vez más democráticos. Pero cuando fue necesario fundamentar las sentencias, el hombre se vio obligado a razonar.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hoy día, el silogismo que utiliza el Juez, no es el silogismo clásico que usaba Aristóteles en su lógica. Aristóteles se refería en sus ejemplos a cuestiones de índole ontológica y no a las acciones humanas (praxis); además porque no utilizaba premisas singulares. Nosotros, en cambio, en el proceso judicial, nos referimos siempre a un hecho concreto, singular que, a la vez, es histórico y que el proceso judicial reconstruye. En nuestro milenio, hasta comienzos del siglo XVIII la controversia se traducía en un ininterrumpido diálogo discursivo entre el Juez y las partes por los topoi que la lógica de la época. Razonando por topoi, se renuncia a la deducción a partir de los principios generales y se abordan las cuestiones partiendo de los casos particulares.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Vemos, que una actitud indispensable que el Juez debe asumir antes de dictar sentencia en un proceso determinado, es ser absolutamente imparcial en el pleito, despojándose de todo interés en el mismo. Además, debe estar lo suficientemente preparado para lograr un razonamiento judicial que lo llevará a dictar una sentencia justa.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razonamiento judicial está impregnado de lógica, especialmente de la lógica formal. Este modo de razonar tiene que ver con el silogismo que es un método deductivo para llegar a la verdad y que se traduce en la formulación de las premisas: Premisa mayor (la norma o la ley); Premisa Menor (el caso concreto) y a la Conclusión que se llega uniendo ambas premisas, que en este caso sería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Conviene destacar, ciertos conceptos básicos sobre este tema, que nos ayudarán a llegar a una interpretación de la norma y argumentación de la sentencia judicial, además de principios fundamentales de la lógica y la sentencia, que encararemos en los párrafos siguientes.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LÓGICA: es una disciplina que tiene por objeto el estudio del pensamiento en cuanto tal en su aspecto formal y material; aspira a la coherencia del pensamiento consigo mismo y con el objeto. Hay coherencia cuando no hay contradicción.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LÓGICA JUDICIAL: Es aquella disciplina, rama de la lógica jurídica que tiene por objeto el estudio del pensamiento jurídico en el campo de la función jurisdiccional; desde el punto de vista formal y material, con la finalidad de obtener el dictamiento de una sentencia que sea coherente con los principios de legalidad, razonabilidad y logicidad.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NORMA JURÍDICA: Es una regla preceptiva de la conducta humana dictada por la autoridad, que establece imperativamente lo que debe ser o acontecer en torno al valor justicia, y cuya estructura lógica implica una consecuencia o sanción.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clasifican en: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NORMAS GENERALES: son las que hacen referencia a una pluralidad, abstracta e indeterminada de personas o sujetos pasivos que integran una categoría, clase o tipo. Así tenemos lo que llamamos vida humana objetivada, conducta normada objetivamente respecto de una pluralidad abstracta e indeterminada de personas o sujetos pasivos.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NORMAS PARTICULARES: aquellas que hacen referencia a una singularidad, a un sujeto pasivo o varios sujetos pasivos, en particular y en concreto. Con la identificación del sujeto al que va dirigida la norma. Sujeto pasivo o destinatario de la norma es aquel que está obligado al cumplimiento de la norma. Ej: Sentencia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Características de la Sentencia Judicial: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Hace referencia a personas físicas o jurídicas en particular y en concreto.</w:t>
            </w:r>
            <w:r w:rsidRPr="001B7F27">
              <w:rPr>
                <w:rFonts w:ascii="Arial" w:eastAsia="Times New Roman" w:hAnsi="Arial" w:cs="Arial"/>
                <w:color w:val="003399"/>
                <w:sz w:val="17"/>
                <w:szCs w:val="17"/>
                <w:lang w:eastAsia="es-AR"/>
              </w:rPr>
              <w:br/>
              <w:t>Delimita los deberes, derechos y obligaciones de las partes litigantes en el proceso con carácter obligatorio y coactivo</w:t>
            </w:r>
            <w:r w:rsidRPr="001B7F27">
              <w:rPr>
                <w:rFonts w:ascii="Arial" w:eastAsia="Times New Roman" w:hAnsi="Arial" w:cs="Arial"/>
                <w:color w:val="003399"/>
                <w:sz w:val="17"/>
                <w:szCs w:val="17"/>
                <w:lang w:eastAsia="es-AR"/>
              </w:rPr>
              <w:br/>
              <w:t xml:space="preserve">Reúne todos los requisitos de la norma jurídica.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Entonces podemos concluir válidamente que la SENTENCIA JUDICIAL es una norma jurídica particular o el instrumento normativo particularizado. Es el prototipo de la norma jurídica particular.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Ahora bien, todas las normas generales y particulares, requieren para su validez el cumplimiento de una serie de requisitos para su validez. Si no reúne alguno de los que citaremos no puede ser considerada una norma válida.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REQUISITOS PARA LA VALIDEZ DE LA NORMA: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COMPETENCIA: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competencia de la autoridad que dicta la norma jurídica, si no hay competencia la norma jurídica no puede ser considerada válida. La autoridad pública tiene competencia para dictar una norma jurídica porque previamente hay otra norma jurídica superior que le está atribuyendo esa competencia. Ahí nos engancharemos con la Teoría de Kelsen cuando habla de la Justificación de las normas jurídicas inferiores por las normas jurídicas inferiores por las normas jurídicas superiores hasta llegar a una norma jurídica fundamental que es presupuesto.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competencia es un requisito fundamental para la validez de la norma jurídica en general, sean normativas generales o particulares. Es una facultad o la atribución que tiene el órgano de dictar esa norma atendiendo a una serie de cánones que le vienen establecidos por otra norma jurídica respectiva.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PROCEDIMIENTO INSTITUIDO: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parlamento nacional sanciona leyes, pero para que la ley sea legítima debe ser consecuencia de la observancia de una serie de normas jurídicas o cláusulas constitucionales que en un conjunto se conocen como el proceso de formación de leyes, si se infringe ese procedimiento constitucional, esa ley va a ser inconstitucional, no por razones de fondo, no por razones de contenido, sino por razones puramente formales.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nuestra Constitución no se prevé la inconstitucionalidad por razones puramente formales, pero resulta un concepto tácito, a diferencia de la Constitución Uruguaya, que establece que las leyes pueden ser declaradas inconstitucionales por motivos de fondo o formales o procesales.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mismo con una sentencia, el órgano competente sabemos que es el Juez en sentido amplio, pero ese dictamiento debe ser dentro de una secuencia procesal. La inobservancia provoca la nulidad de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FORMA: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Hay una forma instrumental establecida. Esta forma adquiere relevancia en el derecho administrativo y en el derecho judicial, los órganos administrativos y judiciales deben observar exigencia de carácter puramente formal para dictar resoluciones. Ej: los inmuebles solo pueden ser transferidos por escritura pública ante Escribano Público matriculado.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COHERENTES: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Deben tener una coherencia de carácter lógico, que es la ausencia de la contradicción. Si observamos una norma contradictoria porque prohibe y permite al mismo tiempo, en el mismo sentido, al mismo sujeto pasivo destinatario, esa norma es inválida.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encontramos una norma jurídica que contradice a otra norma jurídica distinta, nos vemos en la obligación forzosa de aplicar el PRINCIPIO LÓGICO DE NO CONTRADICCIÓN que dice: “dos normas jurídicas contradictorias no pueden ser válidas las dos, ni inválidas las dos, una será válida y la otra no, y se resolverá de acuerdo al caso en particular”.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muy importante que la norma jurídica tenga coherencia interna y externa. La interna que en si misma no contenga la contradicción y la externa es que no contradiga a otra norma jurídica. Coherencia lógica desde el punto de vista interno y externo.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PRELACIÓN DE LAS LEYES: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prelación de leyes envuelve al principio de supremacía constitucional. Es muy sencillo, que las normas jurídicas inferiores deben ser coherentes con las normas jurídicas superiores, y que todas las normas jurídicas inferiores y </w:t>
            </w:r>
            <w:r w:rsidRPr="001B7F27">
              <w:rPr>
                <w:rFonts w:ascii="Arial" w:eastAsia="Times New Roman" w:hAnsi="Arial" w:cs="Arial"/>
                <w:color w:val="003399"/>
                <w:sz w:val="17"/>
                <w:szCs w:val="17"/>
                <w:lang w:eastAsia="es-AR"/>
              </w:rPr>
              <w:lastRenderedPageBreak/>
              <w:t>superiores deben ser coherentes con la Constitución. Todo el sistema normativa sea realmente un sistema que significa: cuerpo, coherente y lógico de normas jurídicas, integradas por normas generales y particulares y emanadas de diferentes órganos competentes para dictarlas.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PRINCIPIOS DE LA ONTOLOGÍA Y LA LÓGICA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ONTOLÓGICO-JURÍDICO DE NO CONTRADICCIÓN: La conducta jurídicamente regulada no puede estar prohibida y permitida al mismo sujeto en las mismas condiciones de espacio y tiempo. La conducta jurídicamente regulada tampoco puede estar prohibida y ordenada al mismo sujeto en las mismas condiciones de espacio y tiempo. Deriva en el Principio lógico de no contradicción.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LÓGICO-JURÍDICO DE NO CONTRADICCIÓN: “Dos normas jurídicas contradictorias no pueden ser válidas las dos”. Encuentra su fundamento en el Principio anterior.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ONTOLÓGICO-JURÍDICO DE TERCERO EXCLUIDO: “La conducta jurídicamente regulada solamente puede estar prohibida o permitida”. Excluye la tercera posibilidad – es o no es –. Da lugar al Principio Lógico del Tercero Excluido.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LÓGICO-JURÍDICO DE TERCERO EXCLUIDO: “Dos normas jurídicas contradictorias no pueden ser inválidas las dos”. No hay una tercera opción, es o ... No pueden ser válidas las dos ni inválidas las dos, una deberá ser válida y la otra inválida. No hay anulación recíproca de normas, la ley posterior es la que deroga.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Principios de Solución: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“Contradicción entre normas jurídicas de diferente jerarquía” Es fácil de solucionar. Ejemplo: C.N. y ley. Está primero la C.N. y esto se puede comprobar gracias la Principio de Prelación de Leyes y el de Supremacía de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detección de la contradicción a las normas es una función eminentemente lógica, pero primero debe interpretarse el texto de la norma “A” y el de la norma “B”.</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“Oposición contradictoria se da entre la Ley Secundaria y una Ordenanza Municipal”: Ej: La ley orgánica municipal dice una cosa y una Ordenanza contiene una norma que contradice a la ley.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el Principio de Prelación: la norma municipal está infringiendo este principio. Se aplica la inconstitucionalidad por el principio de prelación de leyes en este caso.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“Contradicción de Normas de la misma jerarquía pero no coetáneas”: No fueron dictadas en el mismo tiempo. La primera regula un caso determinado y la segunda que se dictó con posterioridad, de una manera distinta con relación al mismo destinatario.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el Principio de derogación, no hay contradicción, porque al entrar en vigencia la segunda ley, se deroga implícitamente la primera. La contradicción es más aparente que real.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“Normas jurídicas de la misma jerarquía y coetáneas”: Este es un verdadero caso de contradicción de la norma jurídica, que no se puede resolver por la vía de la supremacía, de la prelación de leyes ni por derogación.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solución a esta contradicción: se resuelve por vía de la INTERPRETACIÓN según la Constitución, según el criterio laboral, civil, penal, etc. de que se trate. Se INTERPRETA en uno u otro sentido.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conjunción de los dos principios lógico-jurídicos que han sido enunciados se formula, en consecuencia, de la siguiente manera: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“DOS NORMAS JURÍDICAS CONTRADICTORIAS NO PUEDEN SER VALIDAS LAS DOS, NI INVALIDAS LAS DOS. UNA DE ELLAS SERÁ NECESARIAMENTE VALIDA Y LA OTRA NECESARIAMENTE INVALIDA”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ES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Es el acto procesal conclusivo mediante el cual el órgano jurisdiccional resuelve la causa, sea que juzgue sobre el fondo del asunto, sea que lo haga sobre cuestiones previas que puedan impedir un juicio sobre el fondo.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Además, el Juez, por medio de la Sentencia, debe dar una respuesta a las cuestiones que los litigantes han planteado, a los argumentos y razones que ellos le han sometido a consideración y decisión. No puede cancelar las razones de las partes, pero si puede considerarlas no atendibles, pero dando razones suficientemente fundadas para ello.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QUE ES FUNDAMENTAR?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fundamentación de la sentencia, es la justificación de la parte dispositiva o resolutiva, a través de la cual, el Juez trata de demostrar que la decisión del caso se ajusta a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Fundar la sentencia es expresar las razones jurídicas a través de la razón lógica. </w:t>
            </w:r>
            <w:r w:rsidRPr="001B7F27">
              <w:rPr>
                <w:rFonts w:ascii="Arial" w:eastAsia="Times New Roman" w:hAnsi="Arial" w:cs="Arial"/>
                <w:color w:val="003399"/>
                <w:sz w:val="17"/>
                <w:szCs w:val="17"/>
                <w:lang w:eastAsia="es-AR"/>
              </w:rPr>
              <w:br/>
              <w:t>La fundamentación así entendida se conecta directamente con la racionalidad, considerada su primer principio, con la objetividad, con la inducción, es decir, esta no tiende a describir cómo ha formulado el Juez su decisión sino a justificarla a través de una argumentación racional y jurídicamente válida.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ESTRUCTURA DE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ESTRUCTURA INTERNA: Integrada por una serie de elementos formales que sólo pueden percibirse intelectualmente o abstracción; los elementos de la estructura externa pueden verse y los de la interna solo por vía intelectual y es lo que llamamos técnicamente silogismo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Hay teorías que sostienen que en última instancia una sentencia judicial puede ser reducida a un silogismo: que es un tipo de razonamiento deductivo, donde la conclusión deriva necesariamente, obligatoriamente, cuasi matemáticamente de dos premisas anteriores, premisa mayor y premisa menor.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PREMISAS DEL SILOGISMO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PREMISA MAYOR --------------</w:t>
            </w:r>
            <w:r w:rsidRPr="001B7F27">
              <w:rPr>
                <w:rFonts w:ascii="Arial" w:eastAsia="Times New Roman" w:hAnsi="Arial" w:cs="Arial"/>
                <w:color w:val="003399"/>
                <w:sz w:val="17"/>
                <w:szCs w:val="17"/>
                <w:lang w:eastAsia="es-AR"/>
              </w:rPr>
              <w:sym w:font="Symbol" w:char="F0E0"/>
            </w:r>
            <w:r w:rsidRPr="001B7F27">
              <w:rPr>
                <w:rFonts w:ascii="Arial" w:eastAsia="Times New Roman" w:hAnsi="Arial" w:cs="Arial"/>
                <w:color w:val="003399"/>
                <w:sz w:val="17"/>
                <w:szCs w:val="17"/>
                <w:lang w:eastAsia="es-AR"/>
              </w:rPr>
              <w:t xml:space="preserve"> NORMA GENERAL</w:t>
            </w:r>
            <w:r w:rsidRPr="001B7F27">
              <w:rPr>
                <w:rFonts w:ascii="Arial" w:eastAsia="Times New Roman" w:hAnsi="Arial" w:cs="Arial"/>
                <w:color w:val="003399"/>
                <w:sz w:val="17"/>
                <w:szCs w:val="17"/>
                <w:lang w:eastAsia="es-AR"/>
              </w:rPr>
              <w:br/>
              <w:t>(Questio Iuris)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PREMISA MENOR (Questio facti) ----------------------------</w:t>
            </w:r>
            <w:r w:rsidRPr="001B7F27">
              <w:rPr>
                <w:rFonts w:ascii="Arial" w:eastAsia="Times New Roman" w:hAnsi="Arial" w:cs="Arial"/>
                <w:color w:val="003399"/>
                <w:sz w:val="17"/>
                <w:szCs w:val="17"/>
                <w:lang w:eastAsia="es-AR"/>
              </w:rPr>
              <w:sym w:font="Symbol" w:char="F0E0"/>
            </w:r>
            <w:r w:rsidRPr="001B7F27">
              <w:rPr>
                <w:rFonts w:ascii="Arial" w:eastAsia="Times New Roman" w:hAnsi="Arial" w:cs="Arial"/>
                <w:color w:val="003399"/>
                <w:sz w:val="17"/>
                <w:szCs w:val="17"/>
                <w:lang w:eastAsia="es-AR"/>
              </w:rPr>
              <w:t xml:space="preserve"> CASO CONCRETO (Tipificado, un caso encuadrado jurídicamente.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CONCLUSIÓN -----------------</w:t>
            </w:r>
            <w:r w:rsidRPr="001B7F27">
              <w:rPr>
                <w:rFonts w:ascii="Arial" w:eastAsia="Times New Roman" w:hAnsi="Arial" w:cs="Arial"/>
                <w:color w:val="003399"/>
                <w:sz w:val="17"/>
                <w:szCs w:val="17"/>
                <w:lang w:eastAsia="es-AR"/>
              </w:rPr>
              <w:sym w:font="Symbol" w:char="F0E0"/>
            </w:r>
            <w:r w:rsidRPr="001B7F27">
              <w:rPr>
                <w:rFonts w:ascii="Arial" w:eastAsia="Times New Roman" w:hAnsi="Arial" w:cs="Arial"/>
                <w:color w:val="003399"/>
                <w:sz w:val="17"/>
                <w:szCs w:val="17"/>
                <w:lang w:eastAsia="es-AR"/>
              </w:rPr>
              <w:t xml:space="preserve"> SENTENCIA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interesante de este silogismo es que la sentencia es siempre el producto forzoso, obligado de las dos premisas anteriores, que si se razona correctamente se llega a una conclusión correcta.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problema está en obtener la premisa mayor y menor de la norma jurídica y del caso particular y concreto. He aquí la responsabilidad del Magistrado.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ESTRUCTURA EXTERNA: es aquella que hace referencia a una serie de elementos formales que pueden verse, que pueden constatarse visualmente, perceptibles por medio de los sentidos materiales. Se llama tripartición pues se divide en RESULTA; CONSIDERANDO Y RESUELVE.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resultando o RESULTAS: son o deben ser la narración objetiva del desarrollo del proceso; individualizan a los sujetos de la pretensión y de la oposición y relatan las cuestiones que ellos han planteado, los trámites e incidentes del proceso. Son los presupuestos externos de la sentencia, procesales y sustanciales que el Juez controla, analiza y pondera en los “Resultandos”. Es importante desde el punto de vista jurisdiccional porque es sobre lo que el Juez va a fallar, delimita objetiva y subjetivamente el ámbito de la norma particular.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considerandos o CONSIDERANDO: Es la segunda parte de la Sentencia, en el cual el Juez funda su decisión explicando los motivos o razones que la justifican y la génesis de ellos. Los considerandos incluyen: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reflexión selectiva y por separado sobre los hechos indicados en los resultandos y la prueba.</w:t>
            </w:r>
            <w:r w:rsidRPr="001B7F27">
              <w:rPr>
                <w:rFonts w:ascii="Arial" w:eastAsia="Times New Roman" w:hAnsi="Arial" w:cs="Arial"/>
                <w:color w:val="003399"/>
                <w:sz w:val="17"/>
                <w:szCs w:val="17"/>
                <w:lang w:eastAsia="es-AR"/>
              </w:rPr>
              <w:br/>
              <w:t>La comprobación de los hechos por medio de la meritación de la prueba, para determinar cuáles de las invocadas por las partes, serán tomadas como válidas.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La subsunción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requiere expresamente tan sólo que sean consideradas por separado las cuestiones que constituyen el objeto del juicio, planteadas en la pretensión del actor y en la oposición del demandado, sin que esto legitime la conclusión de que deban aparecer separadas la fundamentación de hecho y la fundamentación de derecho.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parte dispositiva, resolutiva o RESUELVE: en esta parte se localiza la conclusión del silogismo final. Aparece nítido el poder jurisdiccional expresado en la regla jurídica que obligatoriamente disciplina el caso.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ley ordena que la decisión sea expresa, positiva y precisa. En el derecho de la misma manera que no se admiten sentencias dogmáticas o sentencias gratuitas, tampoco se admiten decisiones tácitas o implícitas.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parte dispositiva y los fundamentos del considerando, deben guardar coherencia y si esto no ocurre así, se configurará una hipótesis de arbitrariedad que invalide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ARGUMENTOS DE LA LÓGICA JURÍDICA: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argumentos de la lógica jurídica: son las diferentes razones por las cuales se resuelve la causa de una manera u otra o se atribuye un significado a una palabra u otra. El contexto situacional nos dice algo.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palabras ambiguas o policémicas son las que tienen diferentes significados.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ARGUMENTOS PARA FUNDAMENTAR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ARGUMENTO A CONTRARIO SENSU: Se utiliza en forma ligera; se crean normas jurídicas que no pueden ser elaboradas.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Extraer a partir de una norma jurídica expresamente formulada, otra norma jurídica tácita pero en sentido contrario. Si la primera es positiva, la segunda va a ser negativa o viceversa.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clave es la palabra utilizada Solamente, Únicamente, Exclusivamente, Si o Solo Si, en forma expresa o en forma tácita, para razonas a contrario sensu</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conclusión se desprende matemáticamente de las premisas formuladas, si estas son formuladas de otra manera, lógicamente variaría la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premisa mayor o norma, no es ni se identifica con el texto de la ley. No es el texto legal, es el texto interpretado dentro del contexto.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interpretación no es descubrir el espíritu de la ley, es una atribución de significados, es decir, atribuir a las palabras de la ley un alcance o significado, que es la norma utilizada en la premisa mayor.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ARGUMENTO A FORTIORI: (con mayor razón)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mayor a menor (normas permisivas)</w:t>
            </w:r>
            <w:r w:rsidRPr="001B7F27">
              <w:rPr>
                <w:rFonts w:ascii="Arial" w:eastAsia="Times New Roman" w:hAnsi="Arial" w:cs="Arial"/>
                <w:color w:val="003399"/>
                <w:sz w:val="17"/>
                <w:szCs w:val="17"/>
                <w:lang w:eastAsia="es-AR"/>
              </w:rPr>
              <w:br/>
              <w:t>de menor a mayor (normas prohibitivas)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primer punto significa, “El que puede lo más, puede lo menos”, es decir el que tiene derecho a lo más, tiene derecho a lo menos.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Ejemplo: ¿Qué es lo más y qué es lo menos entre una compraventa y una donación?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 donación, el propietario da sin contraprestación, en la compraventa hay contraprestación.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Caso mayor: donación</w:t>
            </w:r>
            <w:r w:rsidRPr="001B7F27">
              <w:rPr>
                <w:rFonts w:ascii="Arial" w:eastAsia="Times New Roman" w:hAnsi="Arial" w:cs="Arial"/>
                <w:color w:val="003399"/>
                <w:sz w:val="17"/>
                <w:szCs w:val="17"/>
                <w:lang w:eastAsia="es-AR"/>
              </w:rPr>
              <w:br/>
              <w:t>Caso menor: compra venta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Puedo Regalar, Si Puedo Vender”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segundo caso, “Si está prohibido lo menor, con mayor razón lo mayor”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Ejemplo: En un hotel no se pueden introducir perros y un señor llega con un oso y alega que en el cartel no dice prohibido osos. Este es el caso de que estando prohibido lo menor, también lo está lo mayor.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RAZONAMIENTO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Fase dialéctica: destinada a la formación de las premisas del silogismo, premisas mayor y menor. LOGICA MATERIAL.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Fase deductiva: se funda en la llamada LOGICA FORMAL o deductiva y tiene como objetivo llegar a la conclusión, decisión.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PRINCIPIOS GENERALES DE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DE FUNDAMENTACIÓN: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presupuesto es el razonamiento. Si no se fundamenta, no se puede razonar y si no se puede razonar, obviamente no se está cumpliendo un principio que está impuesto, no solo por el Código sino también por la C.N.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solo es requisito de validez de las sentencias definitivas o autos interlocutorios, sino que es un deber del Juez fundamentar las sentencias.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Fundar: es la expresión de las razones jurídicas que ha tenido en cuenta el Juez para fallar en la causa de una manera determinada y no de otra, pudiendo hacerlo.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Fundar las sentencias en razones jurídicas, es el producto de la aplicación de los principios de legalidad, prelación, coherencia y razonabilidad (todo debe estar fundado); y si las afirmaciones del juez no fueran razonables serían arbitrarias.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Fundar las sentencias en razonamiento formalmente correcto, es cuando se respetan los principios de la lógica formal: Principio de Identidad, de no contradicción, de tercero excluido y de razón suficiente.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ERRORES DE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Deber de Fundamentación puede ser violado, infringido, desconocido hasta en al Corte Suprema de Justicia. Se viola en los 4 casos siguientes: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FALTA DE FUNDAMENTACIÓN: Consiste en la omisión de consignar en el fallo, los motivos que llevaron al juez a dictar dicho fallo en un sentido y no en otro. Es una Sentencia Judicial ARBITRARIA.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FUNDAMENTACIÓN APARENTE: Cuando aparentemente se consignan algunas consideraciones para fallar. Es simplemente una cháchara procesal, es decir habla mucho y no dice nada. En este caso hay falta de ética. Se utiliza una disposición legal sin contenido jurídico ni lógico.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FUNDAMENTACIÓN INSUFICIENTE: Cuando se viola el principio lógico de razón suficiente. Razones jurídicas y lógicas son insignificantes para sustentar el fallo.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FUNDAMENTACIÓN DEFECTUOSA: Cuando se infringen los principios de identidad, no contradicción, 3º excluido y razón suficiente. Esta fundamentación defectuosa provoca otra clase de vicios que son: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Vicios in iudicando: Error de juicio. Consiste en la utilización impropia de los principios lógicos del fallo. Si el Juez erró al razonar la sentencia, aunque sea válida en su sentido formal, puede ser injusta en su contenido sustancial. Se resuelve por vía de la Apelación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Vicios in procedendo: Son vicios del procedimiento. Se resuelve por vía de la nulidad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Vicios in cogitando: Vicios del pensamiento lógico, de la estructura del pensamiento humano. Es un defecto en la manera de pensar. Se resuelve por vía de recurso de nulidad y consiste en el examen de las reglas del pensar, o sea, si el razonamiento que efectúen los jueces inferiores, es correcto formalmente desde el punto de vista lógico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Preferentemente se dice que viola el principio de no contradicción.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PRINCIPIO DE LEGALIDAD: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La sentencia debe ser jurídica, cuando es el producto o la consecuencia de la aplicación de la norma jurídica que integra válidamente el sistema jurídico. Los jueces están obligados por la C.N. y las leyes, a fundar las sentencias judiciales y no pueden ser sentencias salomónicas.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Este principio se desprende de la estructura que ha asumido el estado Paraguayo, estructura política, jurídica, ética, etc., todo ello plasmado en el art. 1 de la C.N.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Kelsen fueron diseñados dos principios fundamentales: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Principio de libertad: “Está jurídicamente permitido todo aquello que no está jurídicamente prohibido”. Rige para las personas de Derecho Privado y se halla consagrado en el art. 9 de la C.N. </w:t>
            </w:r>
            <w:r w:rsidRPr="001B7F27">
              <w:rPr>
                <w:rFonts w:ascii="Arial" w:eastAsia="Times New Roman" w:hAnsi="Arial" w:cs="Arial"/>
                <w:color w:val="003399"/>
                <w:sz w:val="17"/>
                <w:szCs w:val="17"/>
                <w:lang w:eastAsia="es-AR"/>
              </w:rPr>
              <w:br/>
              <w:t>Principio de legalidad o de prohibición: “Está jurídicamente prohibido todo aquello que no está jurídicamente permitido”. Rige para personas del Derecho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Estos son principios que no son normas jurídicas, son principios que se desprenden de la estructura formal del derecho, son normas de clausura.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DE PRELACIÓN DE LAS LEYES. SUPREMACÍA CONSTITUCIONAL (art. 137 C.N.)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normas inferiores deben ser congruentes con las superiores, y todas ellas con la Constitución Nacional. Este principio de prelación subsume o comprende también el de la supremacía constitucional, que a su vez se funda en el principio de prelación.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violación del principio de prelación provoca la nulidad de la sentencia judicial. Cuando un reglamento, ordenanza municipal infringe la ley, no solo son ilegales, sino también inconstitucionales, según lo declare la C.S.J., porque choca con el principio de prelación.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DE CONGRUENCIA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Principio de Congruencia sostiene que la decisión judicial debe estar ajustada, debe ser coherente, congruente y debe corresponderse con la petición o pretensión. Por eso afirmamos, que este es un principio de procesal, es una aplicación del principio lógico de no contradicción. Es un deber del órgano jurisdiccional que debe ceñirse a la pretensión u oposición de las partes.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congruencia debe resultar del pronunciamiento en su conjunto, y que la parte dispositiva no hace más que sintetizar las conclusiones establecidas por el órgano judicial al decidir, en los considerandos, las cuestiones involucradas en la pretensión o pretensiones del actor y en la posición u oposiciones del demandado.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observancia del PRINCIPIO DE CONGRUENCIA, exige una rigurosa adecuación de la sentencia a los sujetos, el objeto y la causa que individualizan a la pretensión y a la oposición.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Sujetos: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primer lugar, la sentencia sólo puede contener pronunciamiento con respecto a quienes hayan revestido en el proceso la calidad de partes. Es aplicable también este principio, cuando durante el proceso se verifica, por sucesión, transformación o extromisión, un cambio en el sujeto, sea activo o pasivo, de la pretensión, en cuya hipótesis la sentencia debe recaer sobre la persona que exhibe el carácter de parte en oportunidad de su pronunciamiento, caso contrario, la sentencia será nula.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Objeto: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cuanto al objeto, el principio de congruencia requiere que el juez emita pronunciamiento, total o parcialmente positivo o negativo, sobre todas las pretensiones u oposiciones formuladas por las partes y sólo sobre ellas, respetando sus límites cualitativos y cuantitativos.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primer lugar, el fallo incurre en incongruencia cuando omite decidir sobre alguna pretensión u oposición, conteniendo menos de lo pedido por las partes. (CITRA PETITA).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Existe incongruencia desde el punto de vista cualitativo, cuando, habiendo acumulación de pretensiones, el juez se pronuncia solamente sobre alguna o algunas de ellas, rescindiendo, sin fundamento, de las restantes.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Principio de Congruencia exige la emisión de pronunciamiento sobre todas las pretensiones y sus accesorias.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decisión, como principio general, debe ser expresa, aunque excepcionalmente, tratándose incluso de pretensiones autónomas, el acogimiento de una puede considerarse un rechazo implícito de la otra.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Desde el punto de vista cuantitativo, la incongruencia por omisión resulta configurada cuando, por ejemplo, habiéndose reclamado una suma determinada, la sentencia fija una menor, sin enunciar las razones que justifiquen la reducción.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segundo lugar, transgrede el principio de congruencia, el fallo que excede las peticiones contenidas en la pretensión o la oposición, concediendo o negando más de los reclamado por las partes (ULTRA PETITA).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no incurren el ultra petita, los pronunciamientos judiciales que pueden acordar un derecho mayor que el reclamado en el escrito inicial, si el monto se supedita a lo que en mas o en menos resulte de la prueba o se fijase por el juez. Esta doctrina es viable para cualquier clase de acciones que persigan la satisfacción de perjuicios ocasionados por incumplimiento de obligaciones contractuales y extracontractuales.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Finalmente se halla afectado de incongruencia, el fallo que se pronuncia sobre materia extraña a la que fue objeto de la pretensión y de la oposición, concediendo o negando lo que ninguna de las partes reclamó (EXTRA PETITA).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Causa: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lo que respecta a la causa, el fallo debe adecuarse, para no incurrir en incongruencia, a la concreta situación de hecho invocada por ambas partes a fin de delimitar los términos de su pretensión u oposición. La incongruencia por defecto en el ámbito de la causa, se produce toda vez que la sentencia se desentienda de los hechos que actúan como fundamento de la pretensión o de la oposición.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Ejemplo: adolecería de este vicio, la sentencia que ordena la entrega de una cosa al actor a título de dueño, habiendo aquel reclamado a título de locador.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PRINCIPIO DE CONGRUENCIA EN LA ALZADA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límites impuestos por el Principio de Congruencia a la labor jurisdiccional se van angostando cuando el proceso trepa a la Alzada, pues el Tribunal de Apelación se encuentra sujeto al escrito de expresión de agravios.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se trata de una reiteración o renovación de los trámites producidos en la instancia inferior, sino de una revisión del material incorporado en ella, a fin de reparar los posibles errores que exhiba la sentencia apelada.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Principio de Congruencia exige a la Alzada prestar especial atención a dos estadios procedimentales, cuales son el de la traba de la litis y el de interposición y fundamentación del recurso de apelación, pues sus potestades decisorias sufren una doble restricción, la que resulta de la relación procesal y la que el apelante voluntariamente imponga a través del escrito de interposición del recurso y de la pieza que contiene el desarrollo de los agravios.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Ninguna parcela del decisorio recurrido podrá revisar si la impugnación no está contenida en estos últimos actos procesales; pero tampoco podrá resolver cuestiones novedosas o sorpresivas, introducidas por primera vez en la instancia de apelación.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síntesis, el órgano de apelación, incurrirá en incongruencia, si juzga cuestiones no propuestas o consentidas explícitamente al apelar o al exponer agravios.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NATURALEZA DEL RAZONAMIENTO JUDICIAL – RAZONAMIENTO DÉBIL”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GHIRARDI, Olsen; FERNÁNDEZ, Raúl; ANDRUET, Armando J; GHIRARDI, Juan</w:t>
            </w:r>
            <w:r w:rsidRPr="001B7F27">
              <w:rPr>
                <w:rFonts w:ascii="Arial" w:eastAsia="Times New Roman" w:hAnsi="Arial" w:cs="Arial"/>
                <w:color w:val="003399"/>
                <w:sz w:val="17"/>
                <w:szCs w:val="17"/>
                <w:lang w:eastAsia="es-AR"/>
              </w:rPr>
              <w:br/>
              <w:t>Ediciones Alveroni. Córdoba –Argentina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SENTENCIA CIVIL”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FRONDIZI, Román Julio</w:t>
            </w:r>
            <w:r w:rsidRPr="001B7F27">
              <w:rPr>
                <w:rFonts w:ascii="Arial" w:eastAsia="Times New Roman" w:hAnsi="Arial" w:cs="Arial"/>
                <w:color w:val="003399"/>
                <w:sz w:val="17"/>
                <w:szCs w:val="17"/>
                <w:lang w:eastAsia="es-AR"/>
              </w:rPr>
              <w:br/>
              <w:t>Librería Editora Platense S.R.L. La Plata – 1994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“DERECHO PROCESAL CIVIL – TOMO V- Actos Procesales”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PALACIO, Lino</w:t>
            </w:r>
            <w:r w:rsidRPr="001B7F27">
              <w:rPr>
                <w:rFonts w:ascii="Arial" w:eastAsia="Times New Roman" w:hAnsi="Arial" w:cs="Arial"/>
                <w:color w:val="003399"/>
                <w:sz w:val="17"/>
                <w:szCs w:val="17"/>
                <w:lang w:eastAsia="es-AR"/>
              </w:rPr>
              <w:br/>
              <w:t>Editorial Abeledo-Perrot. Buenos Aires – 1990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“PRUEBA DE INCONGRUENCIA, DEFENSA EN JUICIO – El respeto por los hechos”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MORELLO, Augusto Mario</w:t>
            </w:r>
            <w:r w:rsidRPr="001B7F27">
              <w:rPr>
                <w:rFonts w:ascii="Arial" w:eastAsia="Times New Roman" w:hAnsi="Arial" w:cs="Arial"/>
                <w:color w:val="003399"/>
                <w:sz w:val="17"/>
                <w:szCs w:val="17"/>
                <w:lang w:eastAsia="es-AR"/>
              </w:rPr>
              <w:br/>
              <w:t xml:space="preserve">Editorial Abeledo-Perrot. Buenos Aires 1971.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4"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6" w:name="26"/>
            <w:bookmarkEnd w:id="26"/>
            <w:r w:rsidRPr="001B7F27">
              <w:rPr>
                <w:rFonts w:ascii="Arial" w:eastAsia="Times New Roman" w:hAnsi="Arial" w:cs="Arial"/>
                <w:b/>
                <w:bCs/>
                <w:color w:val="009933"/>
                <w:sz w:val="20"/>
                <w:szCs w:val="20"/>
                <w:lang w:eastAsia="es-AR"/>
              </w:rPr>
              <w:t>"Por un Empleo Decente"</w:t>
            </w:r>
            <w:r w:rsidRPr="001B7F27">
              <w:rPr>
                <w:rFonts w:ascii="Arial" w:eastAsia="Times New Roman" w:hAnsi="Arial" w:cs="Arial"/>
                <w:color w:val="003399"/>
                <w:sz w:val="17"/>
                <w:szCs w:val="17"/>
                <w:lang w:eastAsia="es-AR"/>
              </w:rPr>
              <w:br/>
              <w:t>Jorge Darío Cristaldo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laboral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5"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 MARCO DE LA PROBLEMATICA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Javier Aron tiene ahora 16 años, pero desde los cinco su vida está marcada por el oro. Según un informe de la OIT es uno de los 50.000 niños y adolescentes que realiza labores de extracción artesanal del oro en lavaderos y minas subterráneas de Perú, exponiendo su salud a grandes riesgos y daños, algunos irreversibles. Expuesto a inhalaciones de gases y polvos, a intoxicación por mercurio, e incluso a la muerte en un socavón que se derrumba, o por manipulación de explosivos. La extracción del metal se realiza en condiciones deplorables e inhumanas, durante hasta 15 horas diarias, sin tecnología moderna, en contravención a las normas laborales; en suma, sin ningún tipo de protección para el trabajador y su familia. Es un ejemplo claro de trabajo indecente.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Están los flagelos del trabajo forzoso, de los prisioneros y de los presos; la prostitución de menores, de mujeres, la pornografía; los trabajadores informales o en negro; las modalidades de trabajo precario; los trabajos domésticos mal remunerados o sin remuneración; las actividades rurales temporarias; la situación laboral de los extranjeros ilegales; las tareas peligrosas, riesgosas, insalubres o continuas que no respetan la jornada reducida, ni cuentan con equipos de seguridad e higiene; los recortes generalizados de las remuneraciones; las jornadas flexibilizadas que impiden al trabajador organizar su vida o a administrar su tiempo libre; la eliminación de la estabilidad laboral; la creación de nuevas formas jurídicas que facilitan los despidos; la disminución de las indemnizaciones, las jubilaciones y las pensiones.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Solo en Argentina el trabajo no registrado entre 1991 y el 2000 trepó del 28 al 36% entre los varones y del 36 al 41% entre las mujeres. En Costa Rica el trabajo infantil se disfraza y convive con otras formas lesivas de explotación como la servidumbre, el trabajo sexual, la mendicidad, etc.. En Paraguay, a los casos de trabajo indecente comunes a los demás países, se agrega el reclutamiento militar de adolescentes, sometidos a servidumbre y trabajo forzado para los militares.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En Brasil, según UNICEF y OIT, existen 7.000.000 de trabajadores jóvenes, de los cuales la mitad no cumplió 12 años de edad; otro estudio identificó 2,6 millones de adolescentes entre 14 y 16 años trabajando en la informalidad. El promedio de escolaridad en Brasil es de 5 años, en Uruguay es de 9 y en Argentina de 12; en los países desarrollados ese promedio oscila entre 15 y 25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5. Según OIT los accidentes de trabajo y las enfermedades profesionales causan 3300 muertes diariamente; son 1.200.000 cada año en el mundo, como consecuencia del incumplimiento de las normas internas e internacionales </w:t>
            </w:r>
            <w:r w:rsidRPr="001B7F27">
              <w:rPr>
                <w:rFonts w:ascii="Arial" w:eastAsia="Times New Roman" w:hAnsi="Arial" w:cs="Arial"/>
                <w:color w:val="003399"/>
                <w:sz w:val="17"/>
                <w:szCs w:val="17"/>
                <w:lang w:eastAsia="es-AR"/>
              </w:rPr>
              <w:lastRenderedPageBreak/>
              <w:t>en materia de seguridad e higiene en el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El trabajo precoz aleja a los niños de la escuela y fortalece el círculo vicioso de la pobreza, porque esos niños no estarán aptos para un trabajo decente cuando sean adultos.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El panorama se vuelve más desolador y dramático si se considera el reciente ingreso de la China continental en la OMC, lo que puede convertir al gigante asiático en la fábrica del mundo por sus bajos costos laborales. Según los analistas, la fuerza de China depende cada vez más de su crecimiento interno incentivado por una ventaja comparativa única, que significa disponer de un ejército de trabajo barato, crecientemente educado y prácticamente inagotable. Los costos laborales chinos son el 6% de los costos que existen en Corea de Sur y Taiwán, y el 3% de los costos salariales de la industria japonesa. El resultado de fondo de la acelerada integración de la economía mundial en los últimos 10 años y la incorporación de China a la OMC determinará que, en los próximos 10 o 15 años, toda la actividad industrial en la que exista una ventaja comparativa en la fuerza de trabajo, se volverá cada vez más hacia el Asia del Pacífico, y especialmente hacia China, que se convertirá en la fábrica mundial. Todo en detrimento del trabajo decente en ese y en los demás países.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Las investigaciones sobre las tendencias del mundo del trabajo, nos hablan de la acelerada e irreversible disminución del sector asalariado dependiente formal; el irreversible aumento del sector de los trabajadores autónomos y del sector informal de los trabajadores, engrosados éstos por los excluido del sector formal, como consecuencia de las nuevas tecnologías introducidas en la industria, el comercio, la agricultura, la ganadería y los servicios, con el fin de lograr mayor productividad y mejor competitividad en el mercado global; pero también está integrado el sector informal por personas que debido a su insuficiente capacidad intelectual o profesional, no estarán nunca en condiciones aptas para incorporarse a un mercado laboral formalmente protegido.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Estas situaciones de trabajo indecente afectan a centenares de millones de personas en los cinco continentes.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10. Algunas cifras dadas a conocer por la OIT a propósito de la reunión del Foro Global sobre el empleo, ponen al descubierto que la crisis del empleo es uno de los más graves conflictos de la economía globalizada regida por los principios liberales. “Actualmente hay alrededor de un billón de personas en el desempleo, el subempleo o trabajando en condiciones precarias y el 80 por ciento de las personas en edad de trabajar no tienen acceso a la protección social básica”.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las tasas de crecimiento de la economía y de la productividad se mantienen hasta el año 2010 en los niveles de la década de los noventa, el cuadro del empleo aparecerá entonces como claramente deprimente, previene un informe de la OIT. ¨Los trabajadores pobres y mal pagados serán todavía más numerosos. Al menos 160 millones de personas están totalmente desempleados, más de 300 millones tienen un empleo pero buscan un trabajo complementario y más de mil millones viven con menos de un dólar al día¨.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11. Otro fenómeno que se está viviendo es la ¨globalización de los despidos¨ que afecta a varios países. En efecto, las empresas transnacionales continúan con la oleada de despidos que estuvo en auge hasta mediados de año. Luego del 11 de setiembre, la estadounidense General Electric, la mayor transnacional del mundo, anunció que despediría a 75.000 empleados; la Boeing a 38.000; la Siemens a 17.000, ALCATEL a 7000.....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Entre enero y agosto de este año, se produjeron en Estados Unidos 1´120.000 despidos. Las transnacionales estadounidenses General Motor, Motorola, Xerox, Compac, Ericsson, Siemens, Dow Chemical, Xerox, Hewlwtt-Packard, Du Pont, Dell Computer, Protector Gamble, Walt Disney, Lucent, Sara Lee, Citigroup, Schwab, Nortel, Daimler- Chryser, General Motor, AOL-Time Warner, Amazon.Com; Delphi, Whirpool y las europeas Ericsson, Nokia, Marks Spencer, Danone y Siemens, experimentaron procesos de reestructuración y suprimieron millares de empleos debido al ¨estancamiento económico¨. En la mayoría de los casos los despidos no se debieron a pérdidas en las empresas sino a que los beneficios alcanzados no se correspondían a las expectativas de los inversionistas. Esto quiere decir que la suerte de los trabajadores depende, cada vez más, de los vaivenes de las bolsas de valores. Son éstas las que dictan el comportamiento de las empresas. El trabajo en estas condiciones, deja de ser un derecho humano y se convierte en un factor más de la producción, es una mercancía que se puede comprar, vender, desechar. Las transnacionales presionan por mercados de trabajo abiertos y flexibles, y libertad total para gestionar las empresas. Cero estabilidad, nada de control estatal, derechos laborales y sindicatos. El fin último de la rentabilidad justifica todo: la utilización del trabajo infantil, el trabajo esclavo de las mujeres en las plantas maquiladoras, los atentados al medio ambiente.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12. A estos hechos se agrega que el vertiginoso desarrollo de las ciencias y las técnicas – especialmente la informática, la robótica y la biogenética – ponen en duda la importancia y la existencia misma del fenómeno hoy denominado trabajo, el que está disminuyendo aceleradamente en todos los sectores de la producción, por lo que sería razonable sostener con Dominique Meda que ¨el trabajo es un valor en peligro de extinción¨.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 TRABAJO DECENTE Y TRABAJO INDECENTE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1. Desde la antigüedad el trabajo humano fue objeto de explotación abusiva y degradante; ahora también. Y como es imposible separar o distinguir en la práctica el trabajo de la persona que lo ejecuta, la explotación del trabajo supone y pone de manifiesto la explotación del trabajador.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Los juristas sabemos que el Derecho se configura a partir de los datos de la realidad, y que esa realidad juzgada a través de los valores aportados por la axiología jurídica, permite la elaboración de las normas, las cuales a su vez tienden a transformar la realidad en función de las exigencias del bien común.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La historia demuestra que la valorización del trabajo no ha sido siempre justa, desde la perspectiva de una concepción dignificante de la persona de los trabajadores; se valoran más los bienes, los servicios y las diversiones que necesitamos y consumimos, que a los seres humanos concretos que los producen mediante su esfuerzo vital y existencial.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La conciencia ética de gran parte de la humanidad había logrado desarrollar hasta la década de los 70 del siglo XX, una alta estima de la dignidad del trabajo, plasmada en la elaboración de teorías éticas y de normas jurídicas protectoras del trabajador, sancionando su abuso y explotación.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En el siglo XX los trabajadores asalariados en relación de dependencia lograron el más alto grado de protección jurídica en su condición de tales; fueron determinantes para mejorar las condiciones y medio ambiente de trabajo la labor de la Organización Internacional del Trabajo; la acción sindical local, nacional e internacional; la gestión de políticos y gobernantes que en ejercicio de la función pública, como legisladores, administradores y jueces, inspiraron principios, establecieron normas y adoptaron decisiones favorables a la protección de los trabajadores.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Pero la realidad laboral de vastos sectores sociales en gran parte del planeta, actualmente no se ajusta a ese estándar ético y jurídico. Es más. Se detecta un progreso alarmante en el grado y extensión de la explotación laboral en todo el planeta; es decir, disminuye el trabajo decente aceleradamente.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El régimen protector ha sido cuestionado, menospreciado y tiende a ser destruido mediante técnicas de desregulación y de flexibilización, por quienes sostienen que el modelo no sirve porque no es funcional con el post – modernismo, con el avance tecnológico, con los nuevos sistemas de producción industrial y mercadeo, con la flexibilidad y fugacidad de las fuentes financieras, con los procesos de integración, y con el fenómeno de la globalización; se afirma, ahora como hace dos siglos, que el trabajo es una mercancía, y en tal carácter está sujeto como los demás factores de producción, a las leyes ineluctable del mercado endiosado por los neoliberales.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Trabajo decente es una expresión mediatica que se empezó a usar por el Director General de la OIT en su informe presentado a la Conferencia Internacional en 1998. Es un trabajo adecuado a la dignidad humana del trabajador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Aunque específicamente la frase se utilizó en referencia al empleo, identifica un paradigma positivo o un criterio práctico, que sirve para enjuiciar o valorar éticamente cualquier clase de trabajo. Porque trabajo decente, más que un modelo jurídico, debe ser considerado como un paradigma ético, pues lo jurídico implica sólo un nivel ético mínimo. El derecho es parte de la ética.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Decente es un concepto ético moral, no un concepto jurídico. Si no se entiende así, también sería trabajo decente el que ya fue desregulado por el estado en perjuicio de los trabajadores, o el que se ejecuta sin que exista ninguna regulación estatal protectora.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Debe considerarse indecente el trabajo que se ejecuta en condiciones y en un medio ambiente que ni siquiera cumple con la ley laboral; o el trabajo prohibido; o el que se ejecuta por personas jurídicamente incapacitadas o físicamente inhábiles o inaptas.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Trabajo indecente es aquél que disminuye o destruye la dignidad de la persona que trabaja, y que por extensión también rebaja la estimación ética de la sociedad donde se detecta.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trabajo indecente supone siempre un maltrato físico, síquico, emocional o moral al trabajador. Es un trabajo sin derechos frente al empleador; un trabajo injusto. Un trabajo que denigra a quien lo presta y envilece a quien lo utiliza. En estos casos, el trabajador es una víctima indefensa de las condiciones económicas, sociales, políticas y culturales que permiten o alientan el abuso directo o indirecto de su estado de necesidad o su ignorancia.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pobreza, la ignorancia y la desocupación son el caldo de cultivo del trabajo indecente.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10. En síntesis: trabajo decente es el social y jurídicamente protegido; por el contrario, trabajo indecente es el social y jurídicamente desprotegido.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III. TRABAJO DECENTE ABARCA MAS QUE EMPLEO 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1. Trabajo es una palabra clave para comprender el sentido de la vida humana en las civilizaciones y culturas de todas las épocas. Sin embargo, es una palabra que no tiene un contenido conceptual unívoco ni una etiología precisa; viene del latín tripalium, aparato de tortura para extraer confesiones utilizado hasta muy avanzado el siglo XVI, compuesto de tres palos. De ahí el trabajo considerado como ¨esfuerzo humano aplicado a la producción¨.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Tampoco el léxico denota una valoración ética uniforme a través del tiempo, ni dentro de una misma época o de un mismo país. ¨Trabajo es una ocupación¨. ¨Trabajo son apuros y penas¨. ¨Muchos viven sin trabajar¨. ¨No creemos que nadie viva sin trabajos¨. ¨El trabajo se lo busca el hombre¨. ¨Los trabajos nos lo manda Dios, no porque Dios quiere, sino porque nuestras culpas se lo piden¨. En la misma época y país: Gran Bretaña, Thomás Carlyle dijo: ¨El descanso es cosa buena para los muertos¨, pero Oscar Wilde sostuvo: ¨El trabajo es el refugio de los que no tienen nada que hacer¨.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Más allá de la ambigüedad, duda y confusión lingüística y ética de la palabra, podemos encontrar mayor claridad en su acepción jurídica. Desde una perspectiva jurídica se considera trabajo toda actividad humana lícita productora de bienes, servicios o entretenimientos, a cambio de una remuneración.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El trabajo está regulado en la actualidad en forma diferente y con diverso grado de protección estatal, según que sea prestado en relación de dependencia o subordinación jurídica a un tercero denominado ¨empleador¨; o libremente, sin subordinación a órdenes o instrucciones del tomador, receptor o beneficiario de esa actividad.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Cuando la actividad laboral se presta siguiendo las órdenes e instrucciones del empleador o sus representantes, entre las partes se configura un vínculo jurídico denominado técnicamente relación de empleo, el que se regula mediante una rama del Derecho Social denominada Derecho Laboral. Cuando la actividad laboral es prestada en forma autónoma, sin dependencia a un empleador, nace un vínculo jurídico que técnicamente se denomina trabajo autónomo, el que se regula por una rama del Derecho privado denominada Derecho Civil.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De este modo, la distinción entre trabajo y empleo no hace a la esencia, sino a la aplicación jurídica de los conceptos. Con este enfoque, en esta ponencia la palabra trabajo es genérica; y trabajador es toda persona humana que a cambio de una remuneración presta a otra servicios manuales, intelectuales o mixtos. El empleo es sólo una especie de trabajo; el empleado una especie de trabajador. Para facilitar la comprensión del auditorio, usaremos como sinónimos ambos términos: trabajo y empleo, porque consideramos que en cualquiera de los casos la calificación de decente o indecente no se aplica a la actividad en sí, sino en cuanto ella es prestada por un ser humano.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IV. HIPOTESIS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base a lo ya expresado podemos conjeturar que el trabajo decente denota una problemática extremadamente compleja y ambigua, donde intervienen factores que interactúan en las siguientes dimensiones: ético – cultural, económico – social y política, razones por las cuales su implantación planetaria requiere satisfacer demandas y superar obstáculos en esas tres dimensiones.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dimensión ético – cultural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Desde una concepción humanista democrática se pueden señalar algunos antivalores que emergen en la postmodernidad con mucha fuerza, erosionando las bases éticas y culturales de la sociedad global.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Hay una tendencia a valorar al ser humano únicamente por su capacidad de generar ingresos y ser exitoso en los mercados; se adopta en la clase dirigente una antropología materialista reduccionista; se exacerba la dimensión individual de la persona en menoscabo de su dimensión social; se desata la carrera por poseer, acumular y consumir; se promueve la competencia sin compasión hacia el semejante y sin límites morales. En la sociedad política se privilegian los intereses de grupos y sectores a los derechos humanos fundamentales; se anteponen los paradigmas a los principios y valores; se imponen los hechos consumados sobre la razón y el derecho. Por el contrario, una filosofía humanista democrática exige que los intereses sean atendidos en función del respeto a los derechos humanos; que los paradigmas sirvan a los principios y valores; que la realidad fáctica se ajuste y amolde a la razón y al derecho.</w:t>
            </w:r>
            <w:r w:rsidRPr="001B7F27">
              <w:rPr>
                <w:rFonts w:ascii="Arial" w:eastAsia="Times New Roman" w:hAnsi="Arial" w:cs="Arial"/>
                <w:color w:val="003399"/>
                <w:sz w:val="17"/>
                <w:szCs w:val="17"/>
                <w:lang w:eastAsia="es-AR"/>
              </w:rPr>
              <w:br/>
              <w:t>3. El individualismo es tan fuerte que se torna casi imposible apelar a los valores definitivos y trascendentes. ¨Hoy asistimos a una ética pactista¨(Gilles Lipovezky). En vez de hacer depender las políticas públicas de principios y valores, se pacta lo que más conviene a las personas y a los grupos en cada situación, en perjuicio del bien común, cayéndose en el relativismo ético.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4. También el tiempo tiene una connotación diferente en la postmodernidad; su división en pasado, presente y futuro carece de importancia; el instante se eterniza, lo eterno se vanaliza. Así ya no hay lugar a la esperanza, menos para la utopía. Este vivir en el presente, sin arrastrar el ayer, sin pensar en el mañana, puede resultar valioso como terapia sicológica, pero es funesto para resolver la cuestión social, porque me lleva a pensar: ¨si ahora tengo por lo </w:t>
            </w:r>
            <w:r w:rsidRPr="001B7F27">
              <w:rPr>
                <w:rFonts w:ascii="Arial" w:eastAsia="Times New Roman" w:hAnsi="Arial" w:cs="Arial"/>
                <w:color w:val="003399"/>
                <w:sz w:val="17"/>
                <w:szCs w:val="17"/>
                <w:lang w:eastAsia="es-AR"/>
              </w:rPr>
              <w:lastRenderedPageBreak/>
              <w:t>menos un trabajo indecente, esa es mi suerte, y así puede ser siempre; si con eso puedo comer hoy, será insensato reclamar mis derechos laborales porque puedo perder el empleo¨.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5. Se registra una ética subjetivista o pragmática débil, mínima, sin sacrificios ni entrega, sin sanción, sin obligaciones sociales, o con pocas; cuando no una ética del consenso, del mutuo acuerdo, donde el acuerdo de las mayorías fija los principios. </w:t>
            </w:r>
            <w:r w:rsidRPr="001B7F27">
              <w:rPr>
                <w:rFonts w:ascii="Arial" w:eastAsia="Times New Roman" w:hAnsi="Arial" w:cs="Arial"/>
                <w:color w:val="003399"/>
                <w:sz w:val="17"/>
                <w:szCs w:val="17"/>
                <w:lang w:eastAsia="es-AR"/>
              </w:rPr>
              <w:br/>
              <w:t>Una ética utilitarista donde lo que importa es el resultado, el fin que se justifica incluso por medios ilegítimos; en fin, una ética postmodernista que no exige demasiado sacrificio, ni demasiada abnegación. Una moral light que oscila entre intereses y beneficios personales por un lado y fundamentalismos morales extremistas por el otro. Una suerte de post deber que fragmenta la democracia, que prioriza simultáneamente el nacionalismo y la integración, la ecología y la destrucción del ambiente, el horror de la violencia y la trivialización de la delincuencia.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Se ha señalado que hoy las ciencias sociales no parecen ocuparse de la verdad y la realidad, sino del paradigma. Cuando un modelo determinado de pensamiento se impone, la comunidad, científica o no, acepta todo lo que encaja con esa visión, y en cambio no sólo rechaza los datos e ideas que la contradigan, no aceptándolos para su publicación en los medios, sino que también se rechazan las preguntas inoportunas que cuestionan el paradigma, persiguiéndose a los contradictores.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Este sistema de valores se representa en símbolos ambiguos con gran capacidad de seducción, y mediante su inserción en los medios de comunicación, se afectan a las tradiciones locales y se desdibuja la identidad cultural.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En este contexto ético y cultural los antiguos problemas de América Latina toman nueva fuerza, manifestándose en la inestabilidad y desintegración familiar; las múltiples y crecientes formas de violencia; la discriminación y cosificación de la mujer; la destrucción del medio ambiente; la manipulación de la opinión pública por los operadores políticos y los medios de comunicación; el hostigamiento al campesino y al indígena; el crecimiento de ciudades inhóspitas; la pérdida de legitimidad de los partidos políticos y de los gobernantes; la corrupción de la dirigencia; el copamiento de los gobiernos por grupos económicos; la pérdida de gobernabilidad del aparato estatal; la penetración de consumos alienantes como las drogas y la pornografía; la complejidad de procesos de secularización y de búsquedas espirituales que prescinden del compromiso comunitario y la solidaridad.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9. La postmodernidad favorece el trabajo indecente al exaltar el individualismo, menospreciar la solidaridad y los valores éticos colectivos, privilegiando lo privado sobre lo público. Ello resta sustento cultural y prestigio a las organizaciones sindicales, la negociación colectiva y la huelga, como también a la legislación laboral y de seguridad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dimensión económica y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 Predomina, globalizándose, el sistema neoliberal al que Juan Pablo II llama ¨capitalismo salvaje¨, que se manifiesta en las políticas de ajustes que ponen el crecimiento económico como la razón de ser de la economía, y al afán de lucro como motor del sistema. Se restringe la intervención estatal y su responsabilidad en la política social; la seguridad social se reduce a apoyos ocasionales a grupos focalizados; se abren sin restricciones las fronteras para mercancías, capitales y flujos financieros, dejándose sin suficiente protección a los productores más pequeños y débiles; se privilegia el pago de la deuda externa sobre la producción interna y la inversión social; se subordina la complejidad de las finanzas públicas al ajuste de las </w:t>
            </w:r>
            <w:r w:rsidRPr="001B7F27">
              <w:rPr>
                <w:rFonts w:ascii="Arial" w:eastAsia="Times New Roman" w:hAnsi="Arial" w:cs="Arial"/>
                <w:color w:val="003399"/>
                <w:sz w:val="17"/>
                <w:szCs w:val="17"/>
                <w:lang w:eastAsia="es-AR"/>
              </w:rPr>
              <w:br/>
              <w:t>variables macroeconómicas: presupuesto social equilibrado, reducción de la inflación, balanza de pagos estable. Para incentivar la inversión privada se recurre a la desregulación laboral protectora de los trabajadores, se incentiva la flexibilización y precarización de las relaciones laborales produciendo una sensación de incertidumbre y angustia; se liberan impuestos y las obligaciones con el medio ambiente a grupos poderosos, provocando una concentración todavía mayor de la riqueza y el poder económico; se independiza la economía de toda consideración ética o moral, para regirse exclusivamente por criterios de eficiencia y competitividad; se considera que invocar razones de justicia, solidaridad o bien común para influir o condicionar las políticas económicas, sería interferir la sagrada ¨mano invisible del mercado¨.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En América Latina no existen políticas públicas compensatorias adecuadas y justas para los desequilibrios y perturbaciones que produce el capitalismo salvaje, que se manifiesta en la multiplicación de masas urbanas desocupadas, o que subsisten en empleos inestables, poco productivos o mal remunerados; en la quiebra de pequeñas y medianas empresas; en la destrucción y desplazamiento forzado de poblaciones indígenas y campesinas; en la expansión del narcotráfico basado en sectores rurales cuyos productos tradicionales quedan fuera de la competencia con la producción foránea; en el aumento de la criminalidad empujada a veces por el hambre; en la desestabilización de las economías domésticas por la especulación internacional; en la privatización de empresas públicas que se transforman en monopolios privados.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La inequitativa distribución de la riqueza y el ingreso, la precariedad y escasa capacitación del mal llamado ¨capital social¨, y el orden económico sin adecuado control estatal, permiten que el mercado sea copado por los más fuertes, los mejor educados, los más informados y los dueños del poder político.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4. Un documento de la ONU de abril de 1995 señala: ¨Sacando partido de las tendencias dominantes de los años 90, la criminalidad transnacional es ahora un factor de considerable importancia en las finanzas mundiales, capaz de ejercer una influencia negativa en el destino de países enteros en fases críticas de su desarrollo económico y social¨. No es la sociedad civil la que establece las reglas de funcionamiento de la economía mundial, sino los organismos financieros internacionales y el capital transnacional, apoyados por elites dirigentes de los países desarrollados, con la complicidad de las elites subordinadas de los países subdesarrollados, también beneficiarias de esta situación.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Con la desregulación laboral y financiera el mercado traslada fácilmente la plusvalía hacia núcleos de acumulación al interior de los países, y a las empresas multinacionales y transnacionales, pues en general los inversores prefieren el trabajo indecente que les permite ser competitivos en el mercado mundial. Se bajan los costos laborales y se reducen los costos de producción en perjuicio de los trabajadores latinoamericanos, asiáticos y africanos que son mal pagados y mal tratados, pero también en perjuicio de los trabajadores europeos y norteamericanos que quedan desempleados, porque las fábricas se trasladan al Sur o a la China.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El dumping social se generaliza mediante la extensión del trabajo indecente. Hay una amenaza muy seria a los derechos sociales en el siglo XXI.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En este contexto, el sindicalismo de los trabajadores, ya alicaído por causas endógenas y exógenas graves, decrece rápidamente en cantidad, calidad y fuerza; en consecuencia, la protección autónoma de los derechos laborales se vuelve mentira; la negociación colectiva para mejorar las condiciones y medio ambiente de trabajo una utopía; el diálogo social y la concertación sectorial un mito.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Las empresas demandan una nueva clase de trabajadores con condiciones de vida y de producción profundamente modificados, pues las exigencias de competitividad y de permanencia en el mercado requieren adaptar todo su potencial a la función de extraer el máximo resultado de los ¨recursos humanos¨ y materiales disponibles. Las nuevas empresas transforman sus estructuras verticales y jerárquicas en otras más horizontales y flexibles, caracterizada por un conocimiento e intercambio intensivo de información, a fin de aprovechar mejor la iniciativa, creatividad y responsabilidad de sus trabajadores.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dimensión política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Considerar a los estados actuales, especialmente en América Latina, como un mosaico de naciones con destinos distintos, equivale aferrarse a un pasado que ya se acabó mucho tiempo atrás. El paradigma del estado nacional soberano y autosuficiente, ya no es una realidad posible.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modelo obsoleto de ¨estado nacional¨ es absolutamente impotente ante los embates del capitalismo salvaje; es incapaz de superar la denominada ¨cultura de la pobreza¨; no tiene condiciones estructurales para sostener sociedades donde todos los miembros obtengan los bienes y servicios necesarios a su dignidad de seres humanos; es inhábil para promover participativamente instituciones democráticas equitativas en las relaciones de género, para proteger la familia y la naturaleza, para sostener las tradiciones culturales que dan identidad a los pueblos, para asegurar las condiciones y las instituciones requeridas para proteger a los trabajadores con el paradigma del trabajo 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Por otra parte, la hegemonía militar de EE.UU.- acrecentada a partir del 11 de setiembre pasado-, disminuye las esperanzas para revertir el actual proceso desfavorable al trabajo 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debe tener en cuenta la tradición jurídica norteamericana que considera como ¨asunto doméstico o local¨ a las cuestiones sociales, incluída la regulación de las condiciones laborales, lo que es coherente con su reticencia en aceptar la aplicación de las leyes internacionales de trabajo dentro de su territorio.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EE.UU. directamente, o mediante los organismos financieros internacionales que controla, o a través de los débiles gobiernos de los países subdesarrollados, aparece como el campeón de las políticas neoliberales que justifican la existencia de pobres y miserables, con el argumento economicista de que ellos nada tienen que reclamar porque no valen nada en el mercado, pues la economía sólo tiene que ocuparse de producir más, vender más y ganar más, aún a costa de aumentar el trabajo indecente en todo el planeta.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la amenaza de volver a utilizar el ¨gran garrote¨ contra los países todavía renuentes, EE.UU. ha convertido al neoliberalismo en un auténtico fascismo económico.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caso de que el contexto mundial se consolide y fortalezca en su actual tendencia unipolar y unidimencional, la cuestión social en el siglo XXI puede complicarse y agravarse, al tomar auge en el campo de las relaciones laborales una concepción materialista que parecía perimida, según la cual el mercado debe ser el motor y el regulador natural y espontáneo de la economía, así como de la vida social y cultural de los pueblos. Esta reavivada concepción reduccionista, se propone ostensiblemente desarticular la estructura de principios y normas de protección laboral, que se construyó con sangre, sudor y lágrimas de pensadores sociales, y de activistas políticos y sindicales, con destacada presencia social cristiana, en los dos últimos siglos.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3. Las corporaciones imperialistas (empresas multinacionales y transnacionales), mediante los tentáculos de la producción y distribución de bienes, financiamiento, tecnología y comunicaciones, trascienden las soberanías de los estados y moldean a sus propósitos el sistema económico global. En otras palabras, dan vida a la amorga globalización. Si bien es cierto que estas corporaciones por sí mismas, directamente no deprimen las condiciones de empleo, su estrategia de tercerización de actividades para abaratar costos y ser más eficiente en los mercados, constituye una de las causas principales de la retracción del trabajo 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V. TESIS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Constatado que el trabajo indecente constituye un problema global, la moral, el derecho y la lógica exigen que las medidas para implantar el trabajo decente sean también globales.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 En la dimensión ético- cultural urge recuperar la vigencia de los valores humanistas y democráticos como la justicia social, la solidaridad, el bien común y la dignidad de todos y cada uno de los seres humanos; ¨globalización de la solidaridad, de los derechos humanos y de la paz¨.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1.1 Reafirmar que el trabajo no es una mercancía; que el trabajo tiene prioridad sobre el capital; que el derecho de propiedad no es absoluto pues debe cumplir una función social; que el Derecho del trabajo tiene por fundamento la protección del trabajador; que el trabajador debe ser protegido como reconocimiento a su dignidad humana; que el principio de irrenunciabilidad de los derechos laborales garantiza la dignidad del ser humano que lo presta; que el trabajo no se debe someter a las leyes del mercado, sino a un orden ético y jurídico estatal básico que garantice determinadas condiciones mínimas, limitando la autonomía de la voluntad de las partes contratantes. Se necesita más protección, solidaridad y justicia social en el mundo laboral.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1.2 Mediante esa concepción ética será posible generar los hábitos, las actitudes y las conductas necesarios para que los trabajadores, los empleadores y los gobiernos vuelvan a considerar valioso, necesario y conveniente promover el trabajo decente, transformándose la ¨cultura de la pobreza y la muerte¨ en una cultura de la convivencia comunitaria con dignidad y libertad para todos.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En la dimensión económico- social hay que reconocer y asumir el nuevo fracaso de muchas de las políticas públicas neoliberales.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2.1 Si ya en el siglo XX el fracaso del capitalismo individualista se manifestó en los horrores de dos guerras mundiales, y el fracaso del capitalismo de estado con la caída del Muro de Berlín y la implosión de la ex Unión Soviética, la inconsistencia y fragilidad de muchas de las recetas neoliberales en los países subdesarrollados, se manifiesta en el aumento de la miseria, la pobreza, la exclusión social, la desocupación, el desempleo, la deuda externa, el proceso de acumulación interna e internacional.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2.2 Conviene retener del actual sistema económico- social algunos elementos positivos, que los tiene, sobre todo respecto a las finanzas públicas y las variables macroeconómicas, así como la contribución de los mecanismos del mercado para elevar la oferta de bienes de mejor calidad y precio, la reducción de la inflación, la conciencia generalizada de la necesidad de austeridad fiscal, la paulatina liberalización del comercio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2.3 Urge reformular las ciencias económicas en función de una economía solidaria, ubicando nuevamente la satisfacción de las necesidades de todos los seres humanos como su objeto y finalidad, en vez de proponerse solamente la ordenación de los factores productivos en función del mercado.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2.4 Mientras subsista el paradigma económico- social actual no será posible mantener ni mejorar la protección normativa de las relaciones laborales en función del paradigma del trabajo decente; por el contrario, el trabajo indecente continuará siendo el estigma envilecedor de los pueblos.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2.5 Frente a la globalización del capital hay que globalizar la protección de los derechos humanos del trabajador, especialmente los derechos sociales. Actualmente estos derechos solo son considerados desde el punto de vista de la economía y de los economistas, y no como expresión de la dignidad humana del trabajador. La tendencia al autoritarismo tecnocrático debe sustituirse por el diálogo social y la participación de los actores sociales interesados en las cuestiones laborales.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2.6 Es necesario que todos los actores del circuito productivo se involucren y pasen a compartir como propios los resultados de la empresa; este involucramiento es posibles cuando los cambios estructurales y funcionales se asumen como comunidad, en vez de ocurrir contra o a pesar de los trabajadores. Esto supone transitar de una cultura de relaciones laborales de confrontación a otra de cooperación, que implica reconocer la legitimidad de los intereses en conflicto, pero que pueden ser regulados y conciliados en pro de los objetivos y metas de la empresa. Para que esto necesariamente los trabajadores deben estar involucrados directamente en los resultados, y esta contribución reflejarse en forma directa en los beneficios pecuniarios o no pecuniarios que ellos perciben. Por su parte, la empresa debe otorgar espacio a la creatividad del trabajador, fomentar su participación en la toma de </w:t>
            </w:r>
            <w:r w:rsidRPr="001B7F27">
              <w:rPr>
                <w:rFonts w:ascii="Arial" w:eastAsia="Times New Roman" w:hAnsi="Arial" w:cs="Arial"/>
                <w:color w:val="003399"/>
                <w:sz w:val="17"/>
                <w:szCs w:val="17"/>
                <w:lang w:eastAsia="es-AR"/>
              </w:rPr>
              <w:lastRenderedPageBreak/>
              <w:t>decisiones y habilitarlos mediante la formación y capacitación adecuadas para ejercer distintas funciones y mejorar sus condiciones de vida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En la dimensión política, ante el fracaso irreversible del modelo de estado nacional, deben concentrarse los esfuerzos en el ámbito internacional y en los procesos de integración regional, para promover en esos niveles, mecanismos institucionales protectores del trabajo humano, sea el prestado libremente o en relación de dependencia.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3.1 Hasta ahora ni la Unión Europea ni el Mercosur adoptaron para el ámbito de las relaciones laborales, normas uniformadas autoejecutables de nivel supranacional, que funcionen como un piso mínimo de protección de los derechos de los trabajadores, en el espacio geopolítico integrado; ni cuentan con mecanismos de control y fiscalización eficaces; ni con órganos jurisdiccionales comunitarios competentes en materia laboral y de seguridad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3.2 La promoción y protección del trabajo decente debe ser asumida por las instituciones políticas creadas en los procesos de integración regional (Unión Europea, Mercosur); por el contrario, las asociaciones de libre comercio (NAFTA, ALCA) constituyen el mayor peligro para el trabajo decente, pues al no abarcar los aspectos políticos y sociales, dejan librado a los estados la solución de la cuestión social. Y ya se demostró que los ¨estados nacionales¨ son impotentes para proteger al trabajo decente dentro de sus fronteras.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3.3 En mi libro titulado ¨Armonización normativa laboral del Mercosur¨ distribuido el año pasado, demuestro la necesidad y planteo los mecanismos adecuados para establecer normas especiales uniformes autoejecutables, mediante la aprobación de regulaciones supranacionales, que permitan parcial y gradualmente, una uniformidad normativa mínima e irrenunciable, que regule en lo posible hacia el nivel promedio más alto de la región, las condiciones del contrato de trabajo común; normativa que coexista y se superponga mediante ese ordenamiento supranacional, sin sustituir a las legislaciones internas, de tal modo que en cada caso concreto, mediante el singular juego de las fuentes que rigen en el Derecho laboral, se aplique la normativa más favorable al trabajador. No se elimina la legislación vigente en cada país, sino que se agrega la normativa comunitaria como una fuente más del Derecho laboral en las materias respectivas. Esta normativa debe someterse a controles eficaces comunitarios, susceptible de ser invocada ante los organismos jurisdiccionales de cada estado miembro y ante los organismos jurisdiccionales comunitarios.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las regiones integradas debería preverse un sistema de fiscalización de la normativa laboral, por una comisión de expertos independientes, y dejar abierta la posibilidad de quejas de los gobiernos y de las organizaciones sindicales de trabajadores y de empleadores, imponiéndose sanciones a los transgresores.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presupuesto ideológico de esta propuesta supone una concepción antropocéntrica humanista y democrática de los procesos de integración, que no se agota con la ampliación de los mercados, sino que se extiende también a los aspectos políticos, sociales y culturales.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3.4 Otra propuesta en la dimensión política para extender el trabajo decente en todo el mundo, es la que busca transformar la estructura y funcionamiento de la OIT, organismo especializado de Naciones Unidas para las cuestiones laborales y de seguridad social, que realiza complejas tareas y cumple importantes funciones, siendo la más destacada la elaboración y adopción de convenios y recomendaciones en los ámbitos de su competencia.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3.4.1 La OIT deber dejar de lado el rol de ¨conciencia social de la humanidad¨; pero transformarse en el Parlamento social de la humanidad.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3.4.2 El talón de Aquiles de OIT es el complicado mecanismo interno para adoptar decisiones, junto con el requisito de la ratificación parlamentaria para la vigencia de los convenios en cada estado. Para que la OIT sea funcional con el fenómeno de la globalización, y cumpla sus roles de protección del trabajo humano, urge modificar su Constitución a fin de agilizar los mecanismos internos de adopción de convenios; formular sus contenidos mediante normas claras, precisas y concisas; eliminar el requisito de la ratificación estatal que permita la vigencia automática y autoejecutable de la normativa internacional en todos los países miembros de Naciones Unidas; y otorgar a la Conferencia Internacional la facultad para derogar los convenios, total o parcialmente.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3.4.3 Manteniendo la actual estructura tripartita de la Conferencia Internacional del Trabajo, reunida con representantes oficiales de los gobiernos, de los empleadores y de los trabajadores, este órgano de OIT debe tener la facultad de elaborar y aprobar normas laborales internacionales, con vigencia automática inmediata en todos los estados miembros de Naciones Unidas, sin necesidad de ratificación por los parlamentos de los estados miembros.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3.4.4 La reestructuración constitutiva de OIT debe incluir el derecho de las regiones integradas a estar representadas unitariamente en un solo bloque, y no en forma separada como ocurre actualmente, en las deliberaciones de la Conferencia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4. El incumplimiento de las normas de trabajo debe considerarse como prácticas de dumping social contrarias a la </w:t>
            </w:r>
            <w:r w:rsidRPr="001B7F27">
              <w:rPr>
                <w:rFonts w:ascii="Arial" w:eastAsia="Times New Roman" w:hAnsi="Arial" w:cs="Arial"/>
                <w:color w:val="003399"/>
                <w:sz w:val="17"/>
                <w:szCs w:val="17"/>
                <w:lang w:eastAsia="es-AR"/>
              </w:rPr>
              <w:lastRenderedPageBreak/>
              <w:t>libertad de comercio, y deben ser severamente reprimidos por los organismos internacionales competentes, los países que toleran o propician el trabajo indecente, o que disminuyen el costo laboral mediante la explotación de sus trabajadores, en cualquier parte del planeta. Aqui puede jugar un rol muy importante el tripartismo de la OIT y su Declaración de Principios y Derechos Fundamentales del trabajo.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 Frente a las nuevas realidades, es necesaria y urgente la transformación del movimiento sindical y su adaptabilidad a los cambios en los sistemas de producción y en las empresas; las reformas sociales y laborales no pueden realizarse al margen de la opinión y la participación de los sindicatos. Pero éstos deben superar un excesivo ideologismo, y sin perder de vista los grandes objetivos y valores que sustentan, deberían actuar unitariamente a nivel de los espacios geopolíticos integrados y a nivel mundial, buscando la concertación antes que la confrontación, aunque manteniendo firme su cuestionamiento a la sociedad política actual y a la globalización neoliberal. Los convenios colectivos y las huelgas locales y nacionales deben dar paso a los convenios colectivos y a la huelgas transnacionales o regionales.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 El último punto que deseo plantear en la dimensión política es el de la prevención y represión de las violaciones de los derechos económicos, sociales y culturales y del derecho al desarrollo, que aplicado al tema de la ponencia, parafraseando a Alejandro Teitelbaum podemos llamar ¨criminalización de las violaciones al trabajo 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6.1 Se trata de que la comunidad internacional se dote de instrumentos jurídicos eficaces para prevenir y reprimir las violaciones de los derechos reconocidos por los principios y normas internacionales del trabajo, provengan tales violaciones de la criminalidad económica reconocida jurídicamente como tal, o de actividades y políticas económicas y financieras formalmente legales, pero que tienen por resultado tales violaciones.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6.2 En la regulación de los derechos de los trabajadores, de la etapa declarativa se ha pasado a las prescriptiva (articulación en convenios vinculantes), y luego a la etapa de aplicación, pero no se llegó aún a la criminalización, que supone el desarrollo de prescripciones penales internacionales destinadas a la protección de dichos derechos contra sus eventuales violadores.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6.3 Las modalidades de protección desarrolladas hasta ahora (principalmente con la de sanciones pecuniarias y administrativas), se han revelado insuficientes para garantizar su vigencia. Es necesario encarar la sanción penal de tales violaciones. Existen todavía lagunas normativas, y sobre todo no existen o no se aplican los recursos jurisdiccionales para imponer su vigencia efectiva. La sanción penal de las violaciones de los derechos laborales constituye una parte del objeto del Derecho penal socio- económico, que se propone ¨garantizar a todas las clases sociales, especialmente a las económicamente débiles, vivir, desde el punto de vista económico, una vida no solamente exenta de privaciones materiales demasiado duras, sino adornada de un bienestar susceptible de mejorarse en la medida de lo posible¨ (Albert Comment).</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6.4 Las políticas neoliberales, además de responder al interés de los grupos económicos más fuerte, son muchas veces el fruto de la presión y la corrupción utilizadas por grupos o entidades económicas y organismos financieros internacionales, o por empresas transnacionales o multinacionales, y suelen configurar conductas delictivas tipificadas en las legislaciones internas. ¨El crimen organizado – y principalmente el crimen organizado internacional- es una parte importante del sistema económico- financiero globalizado actual, con consecuencias nefastas para gran parte de la población del planeta, por lo que resulta imperativo perfeccionar las normas legales para suprimirlo¨ (Alejandro Teitelbaum).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6.5 El estatuto de la Corte Penal Internacional, aprobado en Roma en 1998, no incluye en la lista de crímenes bajo su competencia, las violaciones de los derechos económicos, sociales y culturales, pero entiendo que existen fundamentos jurídicos suficientes para que ello ocurra.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6.6 Las contravenciones laborales pueden significar la violación de los derecho a la ¨dignidad humana¨, ¨a la vida¨, a no sufrir tratamientos ¨inhumanos o degradantes¨, entre otros. La reducción a la pobreza, y más aún a la extrema pobreza, puede constituir tratamiento inhumano degradante basado en la discriminación social.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6.7 La violación de las leyes internacionales del trabajo por funcionarios u órganos del estado, o por los particulares que están bajo su jurisdicción, implica su responsabilidad cuando no adoptó las precauciones necesarias para evitarlos y proteger a las victimas. De esta responsabilidad deriva su obligación de reparar el daño, de dar seguridades de que no se repetirá la violación, y tratándose de un crimen internacional, la posibilidad de ser objeto de sanciones por parte de los órganos competentes de la comunidad internacional.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6.8 También existe la responsabilidad penal de las personas jurídicas, sean nacionales, transnacionales o multinacionales, sin que ello excluya la responsabilidad particular de sus directivos y empleados. Los organismos internacionales como el FMI, el BM, la OMC, el BID, son personas jurídicas internacionales y tienen patrimonio propio. En consecuencia, son jurídicamente responsables de las violaciones que cometan, por acción u omisión, </w:t>
            </w:r>
            <w:r w:rsidRPr="001B7F27">
              <w:rPr>
                <w:rFonts w:ascii="Arial" w:eastAsia="Times New Roman" w:hAnsi="Arial" w:cs="Arial"/>
                <w:color w:val="003399"/>
                <w:sz w:val="17"/>
                <w:szCs w:val="17"/>
                <w:lang w:eastAsia="es-AR"/>
              </w:rPr>
              <w:lastRenderedPageBreak/>
              <w:t>contra el trabajo decente, porque los sistemas comerciales y financieros también están sometidos al derecho internacional de los derechos humanos que requiere el trabajo 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6.9 Los deberes que imponen los derechos económicos, sociales y culturales y el derecho al desarrollo alcanzan a los sujetos jurídicos arriba mencionados, como se desprende de la Declaración de Filadelfia de 1944, incorporada a la constitución de la OIT, y de la Declaración de Principios Tripartita sobre las Empresas Multinacionales y la Política Social, aprobada por el Consejo de Administración de OIT en 1977. El artículo 4E de esta última declaración dice: ¨Los principios de esta Declaración deberán respetar la Declaración Universal de Derechos Humanos y los Pactos Internacionales¨. La sanción penal debe incluir la reparación integral de los daños causados y la adopción de medidas apropiadas para que cese la violación.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6.10 Para una sana conciencia humanista y democrática resulta inaceptable que mientras el Derecho interno y el Derecho internacional criminalizan los actos contrarios al derecho de propiedad individual, y se penaliza a quienes violan las reglas de la libre competencia a nivel mundial, queden sin embargo impunes los autores, cómplices y encubridores que con sus acciones u omisiones violan el derecho de todo ser humano a gozar de condiciones dignas de existencia, que incluyen un trabajo bien remunerado con descanso y tiempo libre, alimentos de calidad y en cantidad suficientes, vivienda adecuada, salud, educación y seguridad en la vejez y en los infortunios, consagrados en las leyes internacionales destinadas a promover el trabajo decente.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6.11 Somos conscientes que la correlación de fuerzas políticas desfavorece la pretensión de castigar los crímenes que se cometen contra los derechos sociales en general, y los derechos laborales en particular, pero aún en estas circunstancias, tiene un valor educativo e ideológico la propuesta de sancionar penalmente a los miembros de las elites políticas, económicas y financieras que violan derechos humanos fundamentales de los trabajadores, y para señalar a las cabezas visibles de un orden social injusto y criminal.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Si los gobernantes se mantienen indecisos e ineficaces en la gestión de la política social, respecto a la protección del trabajo, irá creciendo la inseguridad social generada por la precarización del empleo, las crecientes tasas de desempleo, subempleo y ocupación informal ; en tanto la acumulación de las riquezas en pocas manos y la exclusión de vastos sectores irá configurando una aldea global con pocos ricos más ricos y con muchos pobres más pobres.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contexto, el ¨trabajo decente¨ propuesto por la OIT como paradigma para el nuevo siglo será otra utopía fracasada, reemplazada por la ingobernabilidad política, el resurgimiento autoritario y el caos económico y social, con sus secuelas de violencias y de guerras.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Porque en la aldea global todos los trabajadores tienen la misma dignidad, y tienen naturalmente derecho a la felicidad.-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Es posible que en este Foro la hipótesis desarrollada sea considerada ingenua y la tesis propuesta utópica, pero he considerado más útil aportar al debate ingenuidad y utopía, sin limitarnos a llorar sobre la leche derramada.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GRACIAS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Porto Alegre, 1 de febrero de 2002</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6"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after="0" w:line="240" w:lineRule="auto"/>
              <w:rPr>
                <w:rFonts w:ascii="Arial" w:eastAsia="Times New Roman" w:hAnsi="Arial" w:cs="Arial"/>
                <w:color w:val="003399"/>
                <w:sz w:val="17"/>
                <w:szCs w:val="17"/>
                <w:lang w:eastAsia="es-AR"/>
              </w:rPr>
            </w:pPr>
            <w:bookmarkStart w:id="27" w:name="27"/>
            <w:bookmarkEnd w:id="27"/>
            <w:r w:rsidRPr="001B7F27">
              <w:rPr>
                <w:rFonts w:ascii="Arial" w:eastAsia="Times New Roman" w:hAnsi="Arial" w:cs="Arial"/>
                <w:b/>
                <w:bCs/>
                <w:color w:val="009933"/>
                <w:sz w:val="20"/>
                <w:szCs w:val="20"/>
                <w:lang w:eastAsia="es-AR"/>
              </w:rPr>
              <w:t>"Procedimiento Abreviado"</w:t>
            </w:r>
            <w:r w:rsidRPr="001B7F27">
              <w:rPr>
                <w:rFonts w:ascii="Arial" w:eastAsia="Times New Roman" w:hAnsi="Arial" w:cs="Arial"/>
                <w:color w:val="003399"/>
                <w:sz w:val="17"/>
                <w:szCs w:val="17"/>
                <w:lang w:eastAsia="es-AR"/>
              </w:rPr>
              <w:br/>
              <w:t>Carolina Bogado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 xml:space="preserve">Derecho procesal penal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7"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El nuevo Cdigo Procesal Penal - Ley N 1.286/98 - introdujo como una de las innovaciones el Procedimiento Abreviado, dirigido en primer lugar a resolver, en el menor tiempo posible, los casos en que se imputa a un encausado la comisin de un delito menor, o sea, aquellos cuyas penas mximas no excedan los cinco aos de prisin, o una sancin no privativa de libertad, segn el Artculo 420 del Cdigo Procesal Penal. Sobre el punto, y a los efectos de facilitar el anlisis de la cuestin planteada, corresponde sealar que es el Artculo 13 del Cdigo Penal el que introduce la singular clasificacin de delito y crimen, en los siguientes trminos: Clasificacin de los hechos punibles: 1) Son crmenes los hechos punibles cuya sancin legal sea pena privativa de libertad mayor de cinco aos; 2) Son delitos los hechos punibles cuya sancin legal sea pena privativa de libertad de hasta cinco aos, o multa.</w:t>
            </w:r>
            <w:r w:rsidRPr="001B7F27">
              <w:rPr>
                <w:rFonts w:ascii="Arial" w:eastAsia="Times New Roman" w:hAnsi="Arial" w:cs="Arial"/>
                <w:color w:val="003399"/>
                <w:sz w:val="17"/>
                <w:szCs w:val="17"/>
                <w:lang w:eastAsia="es-AR"/>
              </w:rPr>
              <w:br/>
              <w:t>En segundo lugar, el Procedimiento Abreviado est dirigido a filtrar el Sistema Procesal Penal, en el sentido de evitar que todas las causas, incluidas aquellas por delitos bagatelarios, o aquellas que no hayan alterado en forma sustancial la armona social, se introduzcan dentro del sistema, con lo cual slo se consigue colapsarlo, con las consabidas consecuencias: una alta morosidad judicial que directamente atenta contra uno de los fines de la pena que consagra el Artculo 21 de la Constitucin Nacional: la readaptacin.</w:t>
            </w:r>
            <w:r w:rsidRPr="001B7F27">
              <w:rPr>
                <w:rFonts w:ascii="Arial" w:eastAsia="Times New Roman" w:hAnsi="Arial" w:cs="Arial"/>
                <w:color w:val="003399"/>
                <w:sz w:val="17"/>
                <w:szCs w:val="17"/>
                <w:lang w:eastAsia="es-AR"/>
              </w:rPr>
              <w:br/>
              <w:t xml:space="preserve">Como se trata de un Procedimiento Abreviado al que se somete las causas menores - slo delitos - el Cdigo prev un procedimiento gil, breve, sin muchos rodeos, que pueden durar entre un mnimo de diez das y un mximo de veinte das, y est todo reglado en slo dos disposiciones de la nueva ley procesal, los Artculos 420 y 421. El Procedimiento Abreviado puede proponerse desde la elevacin del Acta de Imputacin, es decir, al inicio mismo de la acusacin, hasta antes de entrar en la Etapa Intermedia del Proceso, o sea, hasta la Audiencia Preliminar prevista en el Artculo 352 del Cdigo Procesal Penal. Para ser ms claro, el Procedimiento Abreviado puede proponerse hasta en la audiencia preliminar, segn lo establece el Artculo 353, Inc. 9 del Cdigo Procesal Penal.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llegar a este objetivo, la ley sugiere transar, en el buen sentido de la palabra, al Agente Fiscal con la vctima o querellante, y por sobre todo, con el imputado. En puridad, hoy en da, el Agente Fiscal, en toda causa representa directamente a la sociedad en los trminos del Artculo 266 de la Constitucin Nacional; Artculo 1</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de la Ley N</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1.5672/00 - Orgnica del Ministerio Pblico; y Artculo 52 del C.P.P. Dentro de este contexto de la representacin de la sociedad que ejerce el Ministerio Pblico, obviamente representa tanto a la victima, como al victimario, pero dentro del Principio de Objetividad que consagra el Artculo 54 del Cdigo Procesal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ms, la nueva ley procesal determina expresamente que el Ministerio Pblico es el nico sujeto directo de la Accin Penal Pblica, hasta el punto que el Artculo 358, In Fine del Cdigo Procesal Penal dispone: En ningn caso el Juez podr decretar el auto de apertura a juicio si no existe acusacin fiscal. Es decir, si el Fiscal no asume la acusacin, la vctima que slo se convierte en querellante adhesivo, no tiene posibilidad de llevar a Juicio ninguna causa. Esta singular situacin permite al Agente Fiscal convertirse en mediador efectivo entre vctima y victimario para armonizar, en el menor tiempo posible, el equilibrio social roto con la perpetracin de un delito a travs del Procedimiento Abreviado.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Fiscal acta ms o menos dentro del siguiente marco: Por las atribuciones que le otorga el Artculo 52 del Cdigo Procesal Penal, consecuentemente, su condicin de autoridad, tiene en sus manos la amenaza penal contra el imputado para hacerle pensar respecto a su decisin de llegar al Juicio Oral, o admitir el hecho y obtener una pena mnima, por cooperar con la justicia. Ms claramente, el Fiscal amenaza al imputado con los elementos de juicio, o en algunos casos, las evidencias recogidas contra l, para que admita los hechos e ir simplemente al Procedimiento Abreviado, ofrecindole a cambio de su admisin, penas mucho ms benignas de lo que eventualmente le puede corresponder en caso de llegar al Juicio Oral.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Le puede incluso ofrecer slo pena de multa, o en su caso, una pena privativa de libertad que no exceda los dos aos, para que el condenado pueda obtener la Suspensin de la Ejecucin de la Condena en los trminos del Artculo 44 del Cdigo Penal. Es este argumento el ms atractivo para el imputado o acusado, que admita los hechos, porque a pesar de ser condenado, no va a estar recluido, no va ser privado de su libertad, a lo sumo se le impondr la obligacin de realizar un trabajo comunitario, prestando servicios gratuitos de enseanza o de servicio de otra naturaleza en alguna institucin de beneficencia, o en su caso, la obligacin de estudiar. En el caso que est recluido, puede ser el Procedimiento Abreviado el medio ms fcil y rpido para obtener su libertad, previa admisin de los hechos.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la otra la mano, el Fiscal tiene el Principio de Oportunidad, establecido en el Artculo 19 del Cdigo Procesal Penal - Criterio de Oportunidad - que le permite prescindir de la persecucin penal en determinados delitos y circunstancias, lo que utilizado racionalmente tambin puede poner frenos a las pretensiones punitivas y hasta econmicas de la supuesta vctima. En estas condiciones, ambas partes son puestas en igualdad de condiciones, y luego reciben las sugerencias muy especiales del Agente Fiscal para llegar a un acuerdo y proponer el procedimiento previsto en las disposiciones de los Artculos 420 y 421 del C.P.P.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Estas circunstancias reales, con respaldo de la ley, son lo que permite a un astuto Agente Fiscal ser un verdadero </w:t>
            </w:r>
            <w:r w:rsidRPr="001B7F27">
              <w:rPr>
                <w:rFonts w:ascii="Arial" w:eastAsia="Times New Roman" w:hAnsi="Arial" w:cs="Arial"/>
                <w:color w:val="003399"/>
                <w:sz w:val="17"/>
                <w:szCs w:val="17"/>
                <w:lang w:eastAsia="es-AR"/>
              </w:rPr>
              <w:lastRenderedPageBreak/>
              <w:t>operador del Juicio Abreviado, por cuyo conducto no slo se llega a una justicia rpida, sino que evita colapsar el Sistema Procesal.</w:t>
            </w:r>
            <w:r w:rsidRPr="001B7F27">
              <w:rPr>
                <w:rFonts w:ascii="Arial" w:eastAsia="Times New Roman" w:hAnsi="Arial" w:cs="Arial"/>
                <w:color w:val="003399"/>
                <w:sz w:val="17"/>
                <w:szCs w:val="17"/>
                <w:lang w:eastAsia="es-AR"/>
              </w:rPr>
              <w:br/>
              <w:t>El buen Abogado, si acta como auxiliar de la ley, por sobre todo con tica profesional, tambin puede erigirse como un verdadero operador del Procedimiento Abreviado. Para evitar equivocadas interpretaciones corresponde aclarar ms sobre las dos condicionantes referidas precedentemente: lo de auxiliar de la justicia y la tica profesional. Resulta que todos los Abogados que trabajan en la jurisdiccin criminal, al leer el parte policial, ahora el Acta de Imputacin Fiscal - Artculo 302 del C.P.P. - y luego conversar con el encausado, ya tienen casi siempre la precisa, o la verdad de los hechos. Hallan enseguida todos los detalles el hecho antijurdico, as como el tipo legal, por lo que pueden anticipar casi con certeza si va a ser condenado, en su caso, a cunto tiempo, o si en todo caso, va a ser absuelto el imputado. Por el mismo mecanismo, el Abogado sabe si el imputado puede ser beneficiado con una Medida Sustitutiva o Alternativa al de la prisin.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 el Abogado acta como auxiliar de la justicia, sobre todo con tica profesional, est obligado en comunicar ntegramente al imputado su verdadera situacin procesal, mxime si est privado de su libertad. Esto es, hasta qu punto est implicado en el caso, si le corresponde o no una Medida Sustitutiva, el tiempo de duracin del proceso, las posibilidades de ser condenado, as como las posibilidades, pero ciertas de obtener su libertad por cualquiera de los medios previstos en la ley.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Pero el Abogado, por sobre el conocimiento de toda la verdad legal y procesal, inmediatamente, casi en forma instintiva procura fabricar con el mismo imputado una verdad formal para obtener la libertad de su defendido, la ms de las veces presionado por el propio encausado, en otros casos, olvidando su condicin de auxiliar de la justicia y su tica profesional, lisa y llanamente engaa a su defendido afirmndole que tiene los elementos y los medios para obtener su libertad en el menor tiempo posible, siempre que tenga recursos econmicos para pagarle sus honorarios profesionales, lgicamente. La amistad ntima con el Juez, a quien llama por su sobrenombre, o con el Fiscal acusador, o la posibilidad de manejar la imparcialidad del Juez figuran entre los argumentos del mal Abogado.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Estas son verdades diarias, hasta una forma de competencia desleal en el ejercicio de la profesin en la jurisdiccin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concreto, si se acta como un buen Abogado, tambin puede ser un buen operador del Procedimiento Abreviado con las ventajas que ocasiona a todo el sistema Procesal Penal terminar el Juicio en el ms breve plazo y por sobre todo, filtrar el Sistema. Dentro de ese contexto y con respaldo de la ley, los Abogados - defensor y querellante - pueden transar con el Fiscal sobre todos los aspectos del Juicio, ya sea el monto de la indemnizacin, as como el tiempo y/o forma de la condena.</w:t>
            </w:r>
            <w:r w:rsidRPr="001B7F27">
              <w:rPr>
                <w:rFonts w:ascii="Arial" w:eastAsia="Times New Roman" w:hAnsi="Arial" w:cs="Arial"/>
                <w:color w:val="003399"/>
                <w:sz w:val="17"/>
                <w:szCs w:val="17"/>
                <w:lang w:eastAsia="es-AR"/>
              </w:rPr>
              <w:br/>
              <w:t xml:space="preserve">Desde luego que habr detractores de este sistema de transaccin entre las partes en la forma sugerida por la propia ley por la desconfianza que el ciudadano tiene de la Administracin de Justicia y de los Abogados, pero valga la oportunidad para recordar al inmortal Maestro PIERO CALAMANDREI, quien en su Obra Estudios Sobre el Proceso Civil - Editorial EJEA - Bs. As. - Ao 1.973 - Tomo III - Pgina 255, enseaba lo siguiente: Pero en todo el libro, cualquiera que sea el tiempo en que las pginas han sido escritas, ha quedado constancia, sin variar una conviccin, que el buen funcionamiento de la justicia depende de los hombre y no de las leyes, y que el ptimo sistema judicial es aquel en que los Jueces y Abogados, vinculados por recproca confianza, buscan la solucin de sus dudas, ms que en la pesada doctrina, en la viva y fresca humanidad.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Sobre las enseanzas del Maestro Calamandrei, me permito afirmar que esta clase de justicia an est muy lejos en nuestro pas, simplemente por la desconfianza que tienen entre s Magistrados y Abogados. Por un lado, los Agentes Fiscales, olvidan que representan tanto a la vctima como al victimario en el Juicio y se preocupan ms en ser efectistas, que deben encontrar culpable a toda costa, hasta el punto de creer que el mejor Fiscal es el que solicita pena ms elevada, o el que consigue mayor cantidad de condenados. Esto ya es todo un sistema de medicin de los Fiscales, porque en las prcticas de Juicio Oral que se estaban realizando en los primeros das de la vigencia de este Cdigo, en el llamado Tribunal Modelo contra los Defensores Pblicos, el Fiscal que logra ms condena es considerado el mejor.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Los Abogados, sobre todo los que ya han transitado por mucho tiempo los pasillos de los Tribunales, no se salvan de algunos prejuicios que los enfrentan con los noveles Abogados convertidos en Fiscales dificultando el buen entendimiento con los mismos, consecuentemente, la posibilidad de utilizar mejor el Procedimiento Abreviado. Los Abogados deben reconocer tambin sus mezquindades que se inician por desconocer en estos jvenes Fiscales aptitudes acadmicas, hasta de carcter, para ejercer sus funciones y que pasan por la promocin caprichosa de los incidentes ms inslitos que producen como nico resultado dilatar el proceso.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Dentro de este contexto Abogados y Agentes Fiscales se debaten en una lucha por la hegemona entre chicanas procesales e incidentes, recurriendo a cualquier mecanismo para hacer triunfar sus caprichos, no la justicia. En este punto, les recuerdo, a los colegas Abogados y a los Fiscales las enseanzas de HERNANDO DEVIS ECHANDIA - Teora General de la Prueba Judicial - Editorial Zavala - Bs. As. - Ao 1.988 - Tomo I - Pgina 539, quien deca: El proceso contencioso no es un campo de batalla en el cual sean permitidos todos los medios tiles para triunfar, por el contrario, es un trmite legal para resolver jurdicamente los litigios en inters de la colectividad y secundariamente para tutelar los Derechos particulares que en l se discuten. Lo mismo el Juez que las partes deben obrar con lealtad, </w:t>
            </w:r>
            <w:r w:rsidRPr="001B7F27">
              <w:rPr>
                <w:rFonts w:ascii="Arial" w:eastAsia="Times New Roman" w:hAnsi="Arial" w:cs="Arial"/>
                <w:color w:val="003399"/>
                <w:sz w:val="17"/>
                <w:szCs w:val="17"/>
                <w:lang w:eastAsia="es-AR"/>
              </w:rPr>
              <w:lastRenderedPageBreak/>
              <w:t>buena fe, moralidad y legalidad en todo momento y particularmente en el debate probatorio.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Una solucin drstica sera que los Jueces exijan a las partes a litigar con buena fe, como se establece en el Artculo 112 del Cdigo Procesal Penal, en todo caso, aplicar sanciones efectivas a los litigantes de mala fe en los trminos de los Artculos 114 del mismo cuerpo legal citado.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DISPOSICIONES REGLAMENTARIAS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ya sealara ms arriba, en slo dos Artculos se reglamenta el Procedimiento Abreviado. El Artculo 420 del C.P.P. establece lo siguiente: Hasta la audiencia preliminar, se podr proponer la aplica</w:t>
            </w:r>
            <w:r w:rsidRPr="001B7F27">
              <w:rPr>
                <w:rFonts w:ascii="Arial" w:eastAsia="Times New Roman" w:hAnsi="Arial" w:cs="Arial"/>
                <w:color w:val="003399"/>
                <w:sz w:val="17"/>
                <w:szCs w:val="17"/>
                <w:lang w:eastAsia="es-AR"/>
              </w:rPr>
              <w:softHyphen/>
              <w:t>cin del procedimiento abreviado cuando: 1) se trate de un hecho punible que tenga prevista una pena mxima inferior a cinco aos, o una sancin no privativa de libertad; 2) el imputado admita el hecho que se le atribuye y consienta la aplicacin de este procedimiento; y, 3) el defensor acredite, con su firma, que el imputado ha prestado su consentimiento libremente. La existencia de coimputados no impide la aplicacin de estas reglas a alguno de ellos.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su parte, el Artculo 421 del C.P.P. dispone: El Ministerio Pblico, el querellante y el imputado, conjuntamente o por separado, presentarn un escrito, acreditando los preceptos legales aplicables y sus pretensiones fundadas, adems de los requisitos previstos en el artculo anterior. El juez oir al imputado y dictar la resolucin que corresponda, previa audiencia a la vctima o al querellante. El juez podr absolver o condenar, segn corresponda. Si condena, la pena impuesta no podr superar la requerida por los acusadores. La sentencia contendr los requisitos previstos en este Cdigo, aunque de un modo sucinto, y ser apelable. Si el juez no admite la aplicacin del procedimiento abreviado, emplazar al Ministerio Pblico para que contine el procedimiento, segn el trmite ordinario. En este caso, el requerimiento anterior sobre la pena no vincula al Ministerio Pblico durante el juicio, ni la admisin de los hechos por parte del imputado podrn ser considera</w:t>
            </w:r>
            <w:r w:rsidRPr="001B7F27">
              <w:rPr>
                <w:rFonts w:ascii="Arial" w:eastAsia="Times New Roman" w:hAnsi="Arial" w:cs="Arial"/>
                <w:color w:val="003399"/>
                <w:sz w:val="17"/>
                <w:szCs w:val="17"/>
                <w:lang w:eastAsia="es-AR"/>
              </w:rPr>
              <w:softHyphen/>
              <w:t>dos como una confesin.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la lectura y concordancia de los dos nicos Artculos del C.P.P. que reglamenta el Procedimiento en estudio, reitero, puede proponerse el Procedimiento Abreviado en dos momentos diferentes: a) Sobre el Acta de Imputacin, o sea, al iniciarse la causa; y b) En la propia Audiencia Preliminar prevista en el Artculo 353, Inc. 9 del C.P.P. Las consecuencias de la admisin del hecho por parte del imputado surtir diferentes consecuencias en el Juicio conforme al momento de su proposicin, porque en el primer caso, por lo general ninguno de los elementos de juicio que se acompaan al Acta de Imputacin estn corroborados por otros elementos, mientras que en el segundo caso, por lo general habr ms elementos de Juicio, porque el Agente Fiscal, en ejercicio de las facultades que le otorga especialmente los Artculos 315 y 316, habr practicado las diligencias tendientes a probar los hechos denunciados en el Acta de Imputacin. En consecuencia, de acuerdo al momento en que se propone el Juicio Abreviado, las partes pueden obtener ms ventajas. Por ejemplo: Si se acepta los hechos en el acto y se va al Procedimiento Abreviado al inicio mismo de la imputacin, por lo general el Fiscal no va tener demasiados elementos o evidencias contra el imputado, por lo que sus exigencias punitivas no pueden ser muy elevadas, entonces, el imputado puede obtener ventajas. Contrario sensu, si se acepta el hecho recin en la audiencia preliminar, lo ms probable es que el Fiscal tenga bastantes elementos o evidencias contra el mismo, por lo que obviamente sus pretensiones punitivas pueden ser mayores.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PRIMERA CONDICIONANTE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Como podr verse, la primera condicin que exige el Artculo 420 del C.P.P. para admitir el Procedimiento Abreviado es: 1) Que se trate de un hecho punible que tenga prevista una pena mxima inferior a cinco aos, o una sancin no privativa de libertad. Como regla general para la aplicacin de esta institucin debemos utilizar la clasificacin de los hechos punibles que se establece en el Artculo 13 del Cdigo Penal que transcribo para mejor ilustracin: Clasificacin de los hechos punibles: 1</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Son crmenes los hechos punibles cuya sancin legal sea pena privativa de libertad mayor de cinco aos. 2</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Son delitos los hechos punibles cuya sancin legal sea pena privativa de libertad de hasta cinco aos, o multa. 3</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Para esta clasificacin de los hechos punibles ser considerado solamente el marco penal del tipo base.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aqu surge muy claramente que el Procedimiento Abreviado slo puede aplicarse en los casos de simples delitos, no as en los casos de crmenes, cuya diferenciacin resulta muy notoria. Otra situacin que corresponde sealar es que ninguna disposicin legal prohbe que el Procedimiento pueda aplicarse al imputado que tenga antecedentes penales.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SEGUNDA CONDICIONANTE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segunda condicionante es esencial. Sobre l descansa la posibilidad de aplicacin de Procedimiento Abreviado: Que el imputado admita el hecho, segn el apartado segundo del Artculo 420 del C.P.P. La redaccin de esta parte del C.P.P. no permite discusin, exige slo una admisin simple del hecho. Pero paradjicamente, el significado o alcance de esta admisin del hecho, por la deficiente redaccin del nuevo Cdigo, constituye un grave problema para la justa aplicacin del Procedimiento en estudio.</w:t>
            </w:r>
            <w:r w:rsidRPr="001B7F27">
              <w:rPr>
                <w:rFonts w:ascii="Arial" w:eastAsia="Times New Roman" w:hAnsi="Arial" w:cs="Arial"/>
                <w:color w:val="003399"/>
                <w:sz w:val="17"/>
                <w:szCs w:val="17"/>
                <w:lang w:eastAsia="es-AR"/>
              </w:rPr>
              <w:br/>
              <w:t xml:space="preserve">El problema est en determinar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qu es lo que quiere decir la ley cuando dice que el imputado admita el hecho?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Cul es el alcance de esta admisin del hecho?. En conversaciones mantenidas sobre el punto con algunos Abogados del Foro y con algunos Magistrados quienes incluso dictan conferencias sobre el nuevo Cdigo Procesal Penal, me han afirmado que admitir el hecho del Artculo 420 constituye una CONFESION del imputado. Confesin a la que segn </w:t>
            </w:r>
            <w:r w:rsidRPr="001B7F27">
              <w:rPr>
                <w:rFonts w:ascii="Arial" w:eastAsia="Times New Roman" w:hAnsi="Arial" w:cs="Arial"/>
                <w:color w:val="003399"/>
                <w:sz w:val="17"/>
                <w:szCs w:val="17"/>
                <w:lang w:eastAsia="es-AR"/>
              </w:rPr>
              <w:lastRenderedPageBreak/>
              <w:t>dicen, el imputado por lo general lo hace abrumado por las evidencias que se alzan contra l y para evitar que se le aplique una condena alta en el Juicio Oral. Algunos agregan que admitido el hecho, el imputado no tiene otra alternativa que una condena disminuida por su colaboracin con la justicia.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mi parte, sostengo que as como est redactado el Artculo 420 del Cdigo Procesal Penal, la admisin del hecho que hace el imputado, por medio de un escrito, luego de transar con el Agente Fiscal y su eventual querellante, o vctima, de ninguna manera puede ser considerado como una CONFESION que tenga carcter vinculante con una Sentencia condenatoria. Es ms, sostengo que la admisin del hecho en cuestin, en su interpretacin ms amplia, a lo ms que llegara es a una confesin simple que nunca puede hacer prueba por s. Sostengo adems que la admisin del hecho por parte del imputado, no obsta a que el mismo pueda ejercer su defensa en la audiencia prevista en el Artculo 421, segundo apartado, el Juez oir al imputado, hasta obtener incluso su Absolucin, tal como lo demostrar seguidamente.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empezar se puede afirmar que tradicionalmente la confesin de un imputado puede ser simple y calificada. La primera cuando el mismo confiesa ser autor de un hecho sin dar detalles sobre el particular, mientras que en el segundo caso, se confiesa como autor y hace una relacin circunstanciada y llana de la forma en que ocurrieron los hechos: lugar, fecha, hora, revela nombre de partcipes, arma empleada, etc. An as, no surtir los efectos de la confesin si el relato de la auto vinculacin no fue otorgada voluntariamente a un Juez competente; si el relato no rene las condiciones de posible y verosmil; si no coincide con otros elementos materiales del delito, o que el que lo hace no goce de sus facultades mentales.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Desde tiempos inmemoriales se ha discutido la validez probatoria, por s, de la confesin, aunque se la haya otorgado sin que la voluntad del reo para otorgarla permita posibilidad de discusin, aunque se la haya dado al Juez competente con todas las garantas procesales, aunque el reo este en uso de sus facultades mentales, concluyndose que si no rene algunas condiciones de racionalidad, lgica, firmeza, posibilidad, verosimilitud y coincidencias con otros elementos materiales del proceso, no har prueba por s slo, a tal punto que todos los Cdigos establecen con toda claridad los requisitos que debe llenar la confesin de un imputado para que surta los efectos procesales para el cual fue otorgado.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Aqu debemos de reconocer otra lamentable omisin de nuestro nuevo Cdigo Procesal que agrava sustancialmente la comprensin de uno de los requisitos para la aplicacin del Procedimiento Abreviado, porque no previ la confesin que es toda una institucin en el derecho procesal, por lo que ocurrida una declaracin de esta caracterstica, obligatoriamente debemos de recurrir a la Doctrina para interpretar si esta debe o no surtir los efectos de prueba irrefutable contra el que la otorg.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Dadas las circunstancias sealadas y al slo efecto de facilitar la comprensin de lo que es la confesin y por sobre todo la diferencia que existe entre este y admitir el hecho del Artculo 420, Inc. 2</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del N.C.P.P. me permitir transcribir a algunos Maestros. Por ejemplo: FRANCESCO CARRARA - Programa de Derecho Criminal - Tomo II - Pgina 411, dice: En ningn caso la confesin ser legitima, es decir, conforme a las condiciones que la razn exige para su credibilidad, si no va acompaada de las caractersticas siguientes: 1.- De ir precedida de la prueba de la parte material del delito, y esto an en los delitos de hecho transente y mucho ms en los delitos de hechos permanentes; 2.- Debe ser judicial, es decir, hecha ante Juez competente; 3.- Debe ser hecha despus de un interrogatorio, y no espontneamente, porque esto hara sospechar que el reo tiene algn motivo secreto para fingirse culpable; 4.- Debe hacerla una persona inteligente y libre; 5.- Debe ser hecha de manera principal, para que aparezca seria y advertida, no incidentalmente; 6.- Debe ser espontnea, en el sentido de no arrancada por medio de violencias fsicas o morales, que siempre dejan dudas acerca de la sinceridad del que confiesa; ni por medio de artificios, que (aunque eventualmente sirve para satisfacer la curiosidad del investigador) conduciran a la justicia a aprovecharse de medios inmorales; 7.- Debe recaer sobre cosas posibles; 8. Debe ser inequvoca; 9.- Debe ser constante, no revocada, ya sea inmediatamente, ya en un examen posterior; 10.- Debe ser expresa, no tcita; 11.- Debe ser verdadera y no presunta; 12.- Debe ser verdadera y no fingida; y 13.- Debe ser circunstanciada, no simple, y en esto consiste la mayor fuerza probatoria de las confesiones. La comprobacin de las circunstancias con que el reo acompao su confesin, forma parte del requisito.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su parte, KARL MITTERMAIER - Tratado de la Prueba en Materia Criminal - Editorial Hammurabbi - B. As. - Ao 1.979 - Pgina 171, dice: La confesin no puede producir la conviccin sino, cuando comparando su contenido con los hechos asentados en los autos, no hay lugar a dudas que el inculpado tenga conocimiento de la verdad y haya querido declararla. Para que la confesin haga prueba, necesita, pues, reunir diversas condiciones esenciales: 1.- La primera es la verosimilitud; 2.- La segunda la condicin de credibilidad... El estado fsico mental del inculpado es tambin un medio til de comprobacin en lo que concierne a la credibilidad de la confesin. En fin, para que la confesin lleve el sello de la credibilidad, es necesario que aparezca como prestada nicamente por el impulso de la voz de la conciencia y del instinto de la verdad....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Nuestro eterno Maestro VICTOR B. RIQUELME - Instituciones de Derecho Procesal - Tomo I - Pgina 411, dentro de la misma concepcin Doctrinaria, con un sencillo ejemplo nos ilustra cmo debe actuar un Juez cuando recibe la confesin de un imputado para que la exposicin surta los efectos procesales para el cual fue dado, diciendo: Si una persona declara haber causado la muerte de otra por veneno que le proporcionara, el instructor no debe conformarse con ver el cadver; ser indispensable justificar en qu consista el veneno, cmo lo obtuvo, de dnde, cundo, </w:t>
            </w:r>
            <w:r w:rsidRPr="001B7F27">
              <w:rPr>
                <w:rFonts w:ascii="Arial" w:eastAsia="Times New Roman" w:hAnsi="Arial" w:cs="Arial"/>
                <w:color w:val="003399"/>
                <w:sz w:val="17"/>
                <w:szCs w:val="17"/>
                <w:lang w:eastAsia="es-AR"/>
              </w:rPr>
              <w:lastRenderedPageBreak/>
              <w:t xml:space="preserve">en qu fecha, por intermedio de quin; que farmacia se lo facilit, cantidad y aspecto de la medicina; otras circunstancias tales como la causa o mvil de la accin, antecedentes y ms que ninguna, deber realizar la autopsia, para probar a qu se debi la muerte. Es necesario producir en el Juez la certidumbre de que el confesante gozaba de un estado fsico y mental, que le proporcionaran percepcin normal en el momento del crimen.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Todas estas exigencias para que la confesin surta los efectos procesales de prueba, es para evitar que una persona, por una combinacin de mviles egostas o altruistas, por sentimientos positivos o negativos, por error o ignorancia, o simplemente para proteger al verdadero autor o autores del hecho, como normalmente se prometen las bandas delictivas, se confiese como nico responsable del hecho.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 normal es que el hombre, por ms delincuente que sea y por ms arrepentido que est, por ms evidencias que se levanten contra l, su instinto de conservacin y libertad es ms fuerte que todas las presiones que pueda recibir, por lo que siempre niega su participacin en el hecho que se le atribuye. Es por eso que en el ejercicio de la profesin nos hemos encontrado con personas que racionalmente no pueden negar su autora. Sin embargo, inventa los cuentos ms increbles, muchas veces con la ayuda de su propio Abogado para salvarse de la condena.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estas razones no puede tenerse por cierta cualquier confesin, mucho menos la simple admisin del hecho por parte del imputado, porque puede encerrar una trampa contra la justicia, tal sera el caso de una persona que se confiesa nico autor de un crimen, que por las evidencias materiales fue perpetrado por tres. Si se admite que cualquier confesin haga prueba por s, las bandas delictivas pactaran para cada atraco, quin confesara la nica autora y adelante. Puede tambin aparecer que una persona que se confiesa autor de un delito leve, en un lugar muy distante de donde cometi otro delito muy grave, el mismo da, para oponer luego un alibi o coartada para salvarse de una posible condena mucho mayor. Los afectos o sentimientos puros tambin pueden hacer que una persona se auto incrimine en un delito que nunca cometi, tal es el caso de un padre que se confiesa autor de un crimen cometido por su hijo para proteger a este de los rigores de una condena.</w:t>
            </w:r>
            <w:r w:rsidRPr="001B7F27">
              <w:rPr>
                <w:rFonts w:ascii="Arial" w:eastAsia="Times New Roman" w:hAnsi="Arial" w:cs="Arial"/>
                <w:color w:val="003399"/>
                <w:sz w:val="17"/>
                <w:szCs w:val="17"/>
                <w:lang w:eastAsia="es-AR"/>
              </w:rPr>
              <w:br/>
              <w:t xml:space="preserve">Por tanto, termino esta parte de la exposicin con dos conclusiones: 1.- Ninguna confesin, por ms calificada que fuere, podr hacer prueba por s, si no rene los requisitos sealados precedentemente; 2. Existe una diferencia sustancial entre lo que es una confesin y la admisin del hecho, a secas, que refiere el apartado segundo del Artculo 420 del Cdigo Procesal Penal.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ORIGEN DE LOS ERRORES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origen del error en que se incurre al afirmar que admitir el hecho es una confesin calificada, que hace prueba por s, se debe a la muy deficiente redaccin del apartado segundo del Artculo 420 de nuestro nuevo Cdigo Procesal, agravndose la confusin porque en la nueva ley de forma no est prevista la confesin. Es decir, se omiti dedicar una sola palabra a esta verdadera institucin del derecho procesal, lo cual constituye un grave error que obliga a los juristas a recurrir a la Doctrina en caso que ocurra una confesin, o por lo menos, admisin del hecho por parte de un imputado.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otro error grave es intentar aplicar nuestro nuevo Cdigo Procesal utilizando como modelo el Cdigo Procesal de la Provincia de Crdoba como est sucediendo. Esto se debe a que por convenio entre nuestro Poder Judicial y la Fiscala General del Estado con sus similares de Crdoba, casi todos los Magistrados y Fiscales han ido en grupos de 30 y 40 personas desde noviembre de 1.999 hasta la fecha, a hacer una pasanta acadmica fuerte de ocho das en la citada Provincia Argentina, por lo que casi todos volvieron cegados por el modelo cordobs.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tanto, es oportuno hacer las siguientes aclaraciones: En primer lugar corresponde sealar muy enfticamente que la redaccin de nuestro actual Cdigo difiere sustancialmente con la del Cdigo Procesal de Crdoba - Ley N</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8.123 de fecha 18 de diciembre de 1.991 - en cuanto al Procedimiento Abreviado. En efecto, mientras que el Artculo 420 de nuestro Cdigo slo exige que el imputado admita el hecho, como uno de los requisitos para llegar al Procedimiento Abreviado, el Artculo 415 del Cdigo Procesal de Crdoba que nos sirve como referencia principal para la aplicacin del nuevo sistema penal por la va ya indicada, permite el Procedimiento Abreviado slo si el imputado confesare circunstanciada y llanamente su culpabilidad. Notoriamente existe diferencia entre admitir el hecho y confesar circunstanciada y llanamente la culpabilidad. Sobre el punto, JOSE LUIS CLEMENTE - Cdigo Procesal Penal de la Provincia de Crdoba - Editorial Lerner - Tomo IV - Pgina 84 expresa: La regulacin legal bajo examen, exige dos condiciones: 1) Que el imputado haya confesado circunstanciada y llanamente su culpabilidad. El adverbio circunstanciadamente significa segn la Real Academia ( ED. 1.992 ) con toda menudencia, sin omitir ninguna circunstancia o particularidad y llanamente: Con llaneza, sin aparato ni ostentacin. Como podr notarse, el autor citado recurriendo incluso a un diccionario nos clarifica el requisito que exige el Cdigo de Crdoba para que pueda admitirse el Procedimiento Abreviado.</w:t>
            </w:r>
            <w:r w:rsidRPr="001B7F27">
              <w:rPr>
                <w:rFonts w:ascii="Arial" w:eastAsia="Times New Roman" w:hAnsi="Arial" w:cs="Arial"/>
                <w:color w:val="003399"/>
                <w:sz w:val="17"/>
                <w:szCs w:val="17"/>
                <w:lang w:eastAsia="es-AR"/>
              </w:rPr>
              <w:br/>
              <w:t xml:space="preserve">De esta clara explicacin de Clemente se puede concluir que el Cdigo Procesal de Crdoba exige una confesin calificadsima, porque no slo requiere que la misma sea circunstanciada y llana, sino que exige al imputado que confiese su culpabilidad, por lo que otorgado, no existe ninguna alternativa ms que el de imponerle una condena, tal vez reducida por el grado de colaboracin con la justicia.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eso se justifica la redaccin del Artculo 415 del Cdigo de Crdoba que dispone lo siguiente: Si el imputado confesare circunstanciada y llanamente su culpabilidad, podr omitirse la recepcin de la prueba tendiente a </w:t>
            </w:r>
            <w:r w:rsidRPr="001B7F27">
              <w:rPr>
                <w:rFonts w:ascii="Arial" w:eastAsia="Times New Roman" w:hAnsi="Arial" w:cs="Arial"/>
                <w:color w:val="003399"/>
                <w:sz w:val="17"/>
                <w:szCs w:val="17"/>
                <w:lang w:eastAsia="es-AR"/>
              </w:rPr>
              <w:lastRenderedPageBreak/>
              <w:t>acreditarla, siempre que estuviera de acuerdo el Tribunal, el Fiscal y los defensores. Nuestro nuevo Cdigo Procesal Penal - Ley N</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1.286/98 - prev esa oportunidad para el imputado cuando por medio del Artculo 421, segundo apartado, determina que luego de admitir los hechos, el Juez oir al imputado. Si admitir el hecho del Artculo 420 fuere una confesin calificada como la establecida en el Artculo 415 del Cdigo Procesal de Crdoba, no tendra ningn sentido racional volver a or al imputado como se tiene dispuesto en nuestro Cdigo Procesal vigente.</w:t>
            </w:r>
            <w:r w:rsidRPr="001B7F27">
              <w:rPr>
                <w:rFonts w:ascii="Arial" w:eastAsia="Times New Roman" w:hAnsi="Arial" w:cs="Arial"/>
                <w:color w:val="003399"/>
                <w:sz w:val="17"/>
                <w:szCs w:val="17"/>
                <w:lang w:eastAsia="es-AR"/>
              </w:rPr>
              <w:br/>
              <w:t xml:space="preserve">Entonces, vale la pena analizar un poco ms sobre el reconocimiento de la culpabilidad del Artculo 415 del Cdigo Cordobs, porque puede haber una conducta tpica y antijurdica, pero si falta la culpabilidad, no habr sancin penal para el imputado.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Pero qu es la culpabilidad o reprochabilidad?. Para no complicar la interpretacin recurrir al diccionario del Artculo 14 del Cdigo Penal que en el numeral 5 lo define como: reprobacin basada en la capacidad del autor de conocer la antijuridicidad del hecho realizado y de determinarse conforme a ese conocimiento. En otras palabras, se es culpable cuando se realiza el hecho antijurdico sabiendo que lo es, pudiendo haber actuado de otra forma.</w:t>
            </w:r>
            <w:r w:rsidRPr="001B7F27">
              <w:rPr>
                <w:rFonts w:ascii="Arial" w:eastAsia="Times New Roman" w:hAnsi="Arial" w:cs="Arial"/>
                <w:color w:val="003399"/>
                <w:sz w:val="17"/>
                <w:szCs w:val="17"/>
                <w:lang w:eastAsia="es-AR"/>
              </w:rPr>
              <w:br/>
              <w:t xml:space="preserve">HANS HEINRICH JESCHECK - Tratado de Derecho Penal - Parte General - Editorial Comares - Granada - Ao 1.993 - Pgina 366, se refiere a la culpabilidad diciendo: El principio de culpabilidad tiene en Alemania la consideracin de pensamiento rector de la Justicia penal: la pena criminal slo puede basarse en la constatacin de que cabe reprochar al autor la formacin de voluntad conducente a la decisin del hecho, y tampoco puede superar nunca a la que el autor merezca segn su culpabilidad. El principio de culpabilidad tiene como presupuesto lgico la libertad de decisin del hombre, pues slo cuando existe bsicamente la capacidad de dejarse determinar por las normas jurdicas puede el autor ser hecho responsable de haber llegado al hecho antijurdico en lugar de dominar los impulsos criminales.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FRANCISCO MU</w:t>
            </w:r>
            <w:r w:rsidRPr="001B7F27">
              <w:rPr>
                <w:rFonts w:ascii="MS Gothic" w:eastAsia="MS Gothic" w:hAnsi="MS Gothic" w:cs="MS Gothic"/>
                <w:color w:val="003399"/>
                <w:sz w:val="17"/>
                <w:szCs w:val="17"/>
                <w:lang w:eastAsia="es-AR"/>
              </w:rPr>
              <w:t>ﾑ</w:t>
            </w:r>
            <w:r w:rsidRPr="001B7F27">
              <w:rPr>
                <w:rFonts w:ascii="Arial" w:eastAsia="Times New Roman" w:hAnsi="Arial" w:cs="Arial"/>
                <w:color w:val="003399"/>
                <w:sz w:val="17"/>
                <w:szCs w:val="17"/>
                <w:lang w:eastAsia="es-AR"/>
              </w:rPr>
              <w:t xml:space="preserve">OZ CONDE - Derecho Penal - Parte General - Valencia, Espaa - Ao 1.996 - Pgina 3374, refirindose igualmente al mismo tema expone lo siguiente: Para poder afirmar la culpabilidad de una persona que, en el caso concreto, ha cometido un hecho tpico y antijurdico, es necesario conforme al Derecho penal actualmente vigente que se den en esa persona una serie de requisitos sin los cuales no se puede hablar de culpabilidad. La comunicacin entre el individuo y los mandatos de la norma slo puede darse si el individuo tiene la capacidad para sentirse motivado por la norma, conoce su contenido o se encuentra en una situacin en la que puede regirse, sin grandes esfuerzos, por ella. Si, por el contrario, el individuo, por falta de madurez, por defecto psquico, por desconocer el contenido de la prohibicin normativa o por encontrarse en una situacin en la que no le era exigible un comportamiento distinto, no puede ser motivado por la norma o la motivacin se altera gravemente, faltar la culpabilidad, es decir, el hecho tpico y antijurdico, no podr atribuirse a su autor y, por tanto, ste tampoco podr ser sancionado con una pena.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por eso que ahora el delito es la conducta tpica, antijurdica y reprochable o culpable. Es la accin u omisin prohibida por la ley penal que el agente lo realiza con pleno conocimiento de que su conducta est penada.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tomramos los tres elementos del delito: a) conducta tpica; b) antijurdica; y c) reprochable que resulta sinnimo a culpabilidad y analizramos sobre la base del diccionario del Artculo 14 del nuevo Cdigo Penal - Ley N</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1.160/97 - podramos definir el delito en los siguientes trminos: Es la Accin u omisin que cumpla con los presupuestos del tipo legal cuya reprobacin se basa en la capacidad del autor de conocer la antijuridicidad del hecho realizado. En concreto, no hay culpabilidad o reprochabilidad en la accin u omisin cuando el imputado actu por ejemplo: por engao, o error insuperable, o porque no saba que su actuacin estaba prohibida por la ley penal.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ZAFFARONI ensea un caso en que existe una conducta tpica y antijurdica pero no existe culpabilidad en el que lo realiza poniendo como ejemplo el caso del acto teatral en el que uno de los actores debe disparar una bala de fogueo contra otro actor, pero alguien cambia intencionalmente la bala de fogueo por otra verdadera. El actor que no saba nada del cambio actu disparando el arma de utilera pero con bala verdadera, consecuentemente, mat al otro actor.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BACIGALUPO expone como ejemplo: la utilizacin de un mensajero que ignora el contenido del paquete para entregar una bomba que estallar al ser recibida por el destinatario. En ambos casos no aparece la culpabilidad porque en el primer ejemplo el determinado realiz el hecho por error inducido y en el segundo ejemplo el determinado obr por engao inducido, o dicho de otro modo, no habr pena para los mismos porque actuaron sin saber que estaban realizando un hecho penado por la ley penal, y lo que es ms, no pudieron actuar de otra manera por ignorancia.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medio de este anlisis concluyo en lo siguiente: Que el Artculo 415 del Cdigo Procesal de Crdoba exige como requisito para llegar al Juicio Abreviado, una confesin especial, por el que se confiese circunstanciada y llanamente su culpabilidad, o dicho de otro modo, que produjo la accin u omisin, tpica, antijurdica con pleno conocimiento de la amenaza penal y que pudo haber actuado de otra manera. Entonces, s se justifica planamente la aplicacin del Juicio Abreviado cordobs, porque ya no hay hechos ni culpabilidad que discutir, slo corresponde al Juez aplicar la pena que corresponda a la accin culpable de su autor. Por tanto, no se puede incurrir en el grave error de querer equiparar la redaccin del Artculo 415 del Cdigo cordobs, con la redaccin del Artculo 420 de nuestro Cdigo Procesal, que slo pide al imputado admitir el hecho.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CONSENTIMIENTO DEL IMPUTADO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otro requisito esencial que exige el Artculo 420 del C.P.P. para admitir el Juicio Abreviado es que, 3) el defensor acredite, con su firma, que el imputado ha prestado su consentimiento libremente. En puridad, para la aplicacin del Procedimiento no existe ms formalidad que el reconocimiento del hecho por parte del imputado con asistencia profesional y que la expectativa de pena no sobrepase los cinco aos de prisin o multa. En este punto corresponde reiterar que, como la aplicacin del Procedimiento Abreviado se inicia siempre con un acuerdo con el Fiscal, especficamente respecto a la pena que ste solicitar a Juez, se han establecido varios mecanismos para implementarlo, segn el tiempo que el acusado se convenza en admitir el hecho. Lgicamente el mecanismo vara de acuerdo a este parmetro.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veces, el acuerdo entre el Fiscal y la defensa se produce en el inicio mismo de la investigacin. Entonces, el primer mecanismo es que el acusado, en el mismo acto de su declaracin indagatoria - Artculo 84 del C.P.P - admita el hecho y consienta el procedimiento, con lo que se da cumplimiento a los requisitos exigidos en el Artculo 420 del C.P.P, y por sobre todo se facilita todo. Inmediatamente despus el Fiscal eleva su Acta de Imputacin en el que ya solicita la aplicacin del Procedimiento Abreviado.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caso, recibido el Acta de Imputacin, el Juez slo llama al imputado para ser odo, en los trminos del Artculo 321 del C.P.P para inmediatamente dictar la Sentencia, cuyo trmino no podr sobrepasar la propuesta por el Fiscal, siempre de acuerdo a lo establecido en el Artculo 421 del C.P.P.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Otras veces, el acuerdo fiscal - defensa se produce un tiempo despus de la Imputacin, o sea, antes de llegar a la Audiencia Preliminar - Artculo 352 del C.P.P - en cuyo caso, el Abogado Defensor presenta a la Fiscala un escrito solicitando la aplicacin del Procedimiento Abreviado en el que expresamente el imputado admite el hecho y consiente el procedimiento, obviamente con la firma de ambos al pie del escrito. Si el Fiscal est de acuerdo, eleva al Juzgado el correspondiente requerimiento y si tambin el Juez est de acuerdo, dar cumplimiento a lo que dispone el Artculo 421 del C.P.P. en el sentido de or al imputado y luego dictar la Sentencia.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Otras veces, el acuerdo entre Fiscal y Defensa se produce slo en la Audiencia Preliminar que se realiza ante el Juez Penal de Garantas en los trminos del Artculo 352 del C.P.P., es decir, en la ltima oportunidad que se brinda al que a esa altura ya no es un simple imputado, si no un acusado, quien puede solicitar el Procedimiento Abreviado en los trminos del Artculo 353, Inc. 9 del C.P.P.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CRITICA AL PROCEDIMIENTO ABREVIADO: NO BUSCA LA VERDAD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de las crticas que se puede hacer al Procedimiento Abreviado, y con mayor razn a nuestro procedimiento, es que no busca la verdad para dictar la Sentencia, se conforma con una frmula simplista e imperfecta para ese fin, cual es el de admitir el hecho y consentir el procedimiento por parte del imputado como requiere el Artculo 420, Inc. 2 del C.P.P. Esto se contrapone con la obligacin de hallar la verdad en grado de certeza que requiere el proceso penal como para que se pueda condenar a un imputado, caso contrario, si de alguna manera aparece la duda, debe dictarse el sobreseimiento libre o la absolucin del mismo, porque hoy en da, el in dubio pro reo tiene la categora de derecho Constitucional consagrado en el Artculo 17, Inc. 1</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de la Ley Suprema de la Nacin y que se transcribe en el Artculo 5 del Cdigo Procesal Penal.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Qu clase de verdad exige el proceso penal? Por muchsimo tiempo se han reconocido dos clases de verdades que en realidad no son diferentes sino por la forma de producirse: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La verdad formal: Que es la aparente o convencional a la que arriba el Juez luego de la confrontacin racional de los elementos de prueba aportados por las partes en el juicio. Esta clase de verdad es propia del juicio civil, en el que el juzgador, por la funcin de rbitro entre las partes que le determina la ley, se limita en verificar cul de las afirmaciones en controversia ha sido demostrada formalmente, por lo que tambin se lo denomina verdad consentida y consensuada.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2.- La verdad real, o material o histrica objetiva: Propia del derecho procesal penal que se obtiene recorriendo ntegramente el tiempo y espacio del hecho, en cuyo trayecto se recogen elementos materiales y circunstancias apreciables por los sentidos que, ligados entre s, produce la sensacin de verdad por coincidir por el conocimiento universal que el hombre tiene de las cosas. Claro que la verdad as adquirida no es tan objetiva como proponen sus creadores, porque necesariamente el hombre recurre a su intuicin, a su imaginacin para ir encadenando armoniosamente los elementos encontrados por lo que la verdad as construida no es absolutamente objetiva, sino tambin subjetiva por parte del que lo busca, por que al final es el convencimiento del que recorre el tiempo y el espacio del hecho.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JOSE I. CAFFERATA NORES - Introduccin - Pgina 39 - dice: 'La verdad real, verdad histrica, o verdad correspondencia, es la adecuacin o concordancia entre lo que ha ocurrido en la realidad y lo que de ella se ha logrado reconstruir conceptualmente en el proceso'. El mismo autor, habl de la verdad procesal, en una publicacin </w:t>
            </w:r>
            <w:r w:rsidRPr="001B7F27">
              <w:rPr>
                <w:rFonts w:ascii="Arial" w:eastAsia="Times New Roman" w:hAnsi="Arial" w:cs="Arial"/>
                <w:color w:val="003399"/>
                <w:sz w:val="17"/>
                <w:szCs w:val="17"/>
                <w:lang w:eastAsia="es-AR"/>
              </w:rPr>
              <w:lastRenderedPageBreak/>
              <w:t>aparecida en la Revista de la Asociacin de Ciencias Penales de Costa Rica - Ao 8, N</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11, julio de 1.996, afirmando lo siguiente: El proceso penal aspira a lograr una reconstruccin conceptual del hecho que constituye un objeto, lo ms ajustado posible a la realidad, procurando una concordancia o adecuacin entre lo ocurrido y lo que se conozca al respecto. Es la verdad correspondencia, o verdad real, que se reduce, por las dificultades fcticas y las limitaciones jurdicas reconocidas, a una verdad jurdica o verdad procesal.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la bsqueda de esta verdad real, al Ministerio Pblico se le encarga la tarea de allanar todos los obstculos para llegar a ella, porque esta verdad la exige la sociedad al propio Estado por ser reguladora de la armona social y fundamento de una sentencia justa y ejemplificadora. Pero justamente en la obligacin de buscar de la verdad real es que los aparatos represivos de los Estados - Policas y Fiscales - incurren en abusos sistemticos de sus poderes contra los ciudadanos en los que resulta frecuente la coaccin, la violencia moral, verbal y hasta fsica.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ms, se les plantea una lucha entre el efectismo y el garantismo. A veces la propia ley facilita o permite esta clase de abusos como sucede por ejemplo con las disposiciones del Artculo 81 del Cdigo Procesal Penal que se nos present como el ms garantista de toda la historia del Paraguay. En efecto, la citada disposicin procesal faculta al Juez a ordenar la extraccin de sangre o fluido del imputado, fuera de su voluntad. Esto es monstruoso porque atenta con la dignidad humana que se protege por medio del Artculo 1</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de la Constitucin Nacional.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en balde, el Maestro PIERO CALAMANDREI - Proceso y democracia - deca lo siguiente: 'Cunto camino hay que recorrer todava antes de que este respeto a la persona humana penetre en el proceso penal; el hombre constituye todava, en lugar de un sujeto, un objeto inerte a merced de la violencia del inquisidor; todo el proceso penal, an cuando no conduzca al suplicio, es una secuela de interrupciones brutales dentro del recinto, que debera ser inviolable, de la personalidad humana. La violencia fsica constituye an el instrumento preferido del inquisidor, y en la incertidumbre de la encarcelacin preventiva, el imputado se encuentra ante quien lo interroga sin garanta alguna de defensa'.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principio, para la lgica aplicada, la verdad se traduce como la identidad del sujeto que conoce y el objeto conocido. JULIO B. MAIER - Fundamentos - Volumen 1 - Pgina 562 ensea: 'Desde el punto de vista del conocimiento histrico, reproductor de objetos reales, que existen en el tiempo y espacio, verdad es la relacin de concordancia entre el pensamiento y el objeto pensado el concepto de verdad alude siempre a una relacin de conocimiento, la que se establece entre el sujeto cognoscente y el objeto conocido'.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opinin, la duda, la ignorancia y el error constituyen estados de entendimiento de la verdad o verdades subjetivas de cada sujeto que conoce. Entonces, reiterando una afirmacin anterior contesto la pregunta que antecede; la verdad que se exige al derecho procesal penal es el de mximo grado, en el que no cabe duda, la CERTEZA.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verdad artificiosa o fantasiosa, aquella construida sobre la base de presunciones e indicios constituyen las prcticas ms perniciosas de procedimiento inquisitivo que por lo menos en las letras de las nuevas leyes procesales van desapareciendo. La verdad extrada del reconocimiento del hecho por parte del acusado, la ms de las veces no es la verdad verdadera, porque puede ser la obtenida del acusado sobre la base de una presin que ejerce contra el mismo el Ministerio Pblico por medio de la amenaza penal, o puede ser el producto de su propia especulacin cuando el Fiscal le propone el Procedimiento Abreviado por cuyo conducto puede conseguir su libertad casi inmediata: si admits el hecho slo se te impondr multa o una pena no mayor de dos aos de prisin, con la posibilidad cierta o legal de obtener la suspensin de la ejecucin.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medio de una investigacin personal sobre la verdad en el procedimiento Abreviado he podido comprobar, o tener conocimiento cierto que los imputados admiten el hecho y consienten el procedimiento para salvar a otras personas de la persecucin penal, obviamente partcipe del hecho punible. Otros, como se le ofrece una sentencia de dos aos que no va a cumplir, para evitar la carga de seis meses de procesamiento, o la prisin misma durante un largo tiempo, es decir, mientras se tramita la etapa intermedia del proceso, sencillamente optan por reconocer el hecho para llegar al Procedimiento Abreviado, a fin de obtener su libertad.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concreto, reconocer el hecho no llega a la verdad en grado de certeza que propone el juicio criminal como fin, sino ms bien es una verdad fraudulenta, tecnificada por la asistencia de un Abogado, quien poniendo sus conocimientos acadmicos al servicio de esta clase de verdad, puede convencer a cualquier Juez o Tribunal, o por lo menos crear la duda sustancial no slo del hecho mismo, sino de la culpabilidad del acusado. Entonces esta no es la verdad fin del proceso penal que debe buscarse por ser de orden pblico, sobre la que descansa el debido proceso, el juicio justo que se exige en un Estado de Derecho para llegar a la proteccin social que se ejerce por medio del castigo ejemplar del verdadero culpable para transitar hacia la paz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Hasta puede decirse que admitir el hecho como medio para llegar a la verdad, esto es, para dictar una sentencia, resulta un absurdo, porque el hecho que en el proceso penal se traduce como el resultado antijurdico de la accin u omisin del agente. Es un acontecimiento sensible o material que no slo se representa, sino que puede ser valorado con la inteligencia media del hombre, hasta el punto que puede afirmarse dentro del mismo razonamiento que el hecho - resultado, no necesita ser demostrado, porque siempre resulta evidente o notorio.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MS Gothic" w:eastAsia="MS Gothic" w:hAnsi="MS Gothic" w:cs="MS Gothic"/>
                <w:color w:val="003399"/>
                <w:sz w:val="17"/>
                <w:szCs w:val="17"/>
                <w:lang w:eastAsia="es-AR"/>
              </w:rPr>
              <w:lastRenderedPageBreak/>
              <w:t>ｿ</w:t>
            </w:r>
            <w:r w:rsidRPr="001B7F27">
              <w:rPr>
                <w:rFonts w:ascii="Arial" w:eastAsia="Times New Roman" w:hAnsi="Arial" w:cs="Arial"/>
                <w:color w:val="003399"/>
                <w:sz w:val="17"/>
                <w:szCs w:val="17"/>
                <w:lang w:eastAsia="es-AR"/>
              </w:rPr>
              <w:t>Qu puede ser un hecho?. El cadver de la victima. Es este hecho lo que no necesita ser demostrado por ser un hecho evidente para el entendimiento humano. Pero, debe hacerse igualmente la diferenciacin entre la evidencia sensible y la intelectiva. La primera, es aquella que produce naturalmente al espritu la sensacin indestructible de verdad por medio de la intuicin innata. La segunda, aquella a la que se llega luego de un proceso intelectual que parte del anlisis racional de todos los elementos de juicio que se nos aporte. Negar la evidencia sensible es lo mismo que negar la naturaleza del hombre. Negar la evidencia intelectiva es negar la misma esencia del hombre que los diferencia de los dems seres de la naturaleza: Su inteligencia.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Debe observarse entonces que al derecho procesal penal se le exige dos verdades en grado mximo, o sea, en grado de certeza. La primera respecto a la verdad del hecho, que por traducirse como resultado, elemento objetivo del hecho punible, es posible alcanzar; y la segunda, respecto a la intencin, el mvil y a la energa puesta por el autor para la consumacin del hecho, como elementos subjetivos del ilcito. Debe recordase tambin que si no se llega a la verdad - certeza, debe sobreseerse o absolverse al acusado en aplicacin del in dubio pro reo, hasta se ha implantado frases grandilocuentes como: Es preferible absolver a cien culpables y no condenar a un inocente.( Jorge Clari Olmedo - Tratado - Tomo I - Pgina 492). Mientras quede una sombra de duda, no puede haber certeza posible para el Juez concienzudo. (Karl Mittermaier - Tratado de la Prueba en Materia Criminal - Pgina 72).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concreto, el derecho procesal penal no se limita en comprobar la verdad del hecho, que se traduce como el resultado de una accin u omisin, porque el hecho slo forma parte del elemento objetivo del delito, sino que a los efectos de la imputacin correcta debe encontrar el mvil, la intencin, hasta la energa puesta por el agente para consumar el hecho, porque stos forman parte de los elementos subjetivos del hecho antijurdico.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ejemplo: Pedro est acusado de tentativa de homicidio. Pedro se defiende y afirma que slo tuvo intencin de herir. Juan, tiene una herida con su respectivo diagnstico, por lo tanto estamos ante un hecho probado. Ms claramente est probado el elemento objetivo del hecho punible. Ahora, debe probarse los elementos subjetivos para saber si estamos ante una herida o una tentativa de homicidio.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debe probar entonces el mvil, la intencin y la energa o fuerza puesta por Pedro a fin de determinar si fue una herida o la tentativa de homicidio. Esta cuestin se complica notoriamente en los casos de los crmenes, en razn de que por una poltica criminal con el que no estoy de acuerdo, a la tentativa del crimen se aplica el mismo marco penal que el consumado, a tenor de lo que dispone el Artculo 27 del Cdigo Penal: A la tentativa son aplicables los marcos penales previstos para los hechos punibles consumados.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una clase dictada por el Profesor Eberhard Struensee el da 5 de octubre del 2.0001 en aulas de la Universidad del Norte, trajo a la memoria dos ejemplos pedaggicos de Hans Welzel - Derecho Penal Alemn - Pgina 79 - en los que puede notarse la responsabilidad del derecho procesal en probar elementos subjetivos del autor: a) Quien incendia su casa para obtener la suma del seguro, slo quiere tener el dinero; Struensee pregunt, y qu pasa si el que prende fuego no saba que dentro de la casa haba quedado una persona y muere en el incendi?. b) El que enva a otro al bosque cuando se acerca una tempestad con la esperanza que ser ultimado por un rayo; Struensee pregunt y qu pasa si el rayo ultim al enviado o si el rayo no cay. Como podr verse, el compromiso del derecho procesal en busca de la verdad, no se agota en hallar la verdad del hecho en base un reconocimiento simple del acusado.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Recurrir a otro ejemplo reiterando que la verdad exigida al procesal no es slo la objetiva, sino tambin la verdad subjetiva. El delito de Falsa Denuncia est previsto y penado en el Artculo 289, en los siguientes trminos: Denuncia falsa - El que a sabiendas y con el fin de provocar o hacer continuar un procedimiento contra otro: 1. le atribuyera falsamente, ante autoridad o funcionario competente para recibir denuncias, haber realizado un hecho antijurdico o violado un deber proveniente de un cargo pblico; 2. le atribuyera pblicamente una de las conductas sealadas en el numeral anterior; o 3. simulara pruebas contra l, ser castigado con pena privativa de libertad de hasta cinco aos o con multa.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Cules son los elementos objetivos de este delito?. Son dos: El primero, obviamente el hecho de acusar a una persona por la comisin de un delito o simular contra l prueba; y el segundo, el sobreseimiento libre o absolucin de la persona a quien se le atribuy el delito, es decir, que se declare inocente a la persona a quien se le acus falsamente. Esta exigencia del sobreseimiento libre o absolucin como elemento objetivo para poder acusar al denunciante falso, a ms de racional, constituye una verdadera poltica procesal, porque caso contrario, puede crearse chicanas a las que somos muy afectos los Abogados, cuya solucin resultar un imposible, o pueden dar pie a terrorismos procesales. Por ejemplo: Pedro denuncia a Mario. Este, alegando inocencia ante la acusacin de Pedro, lo querella inmediatamente por denuncia falsa.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Qu va a pasar?.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Van a sustanciarse separadamente la denuncia de Pedro contra Mario y por otro lado, la querella de Mario contra Pedro por denuncia falsa?. Ahora bien, cules son los elementos subjetivos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 La cuestin de la imputabilidad en los delitos de acusacin falsa exige ms elementos que la simple acusacin?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efecto, la Doctrina y la Jurisprudencia han dejado establecido que tambin debe probarse, que el acusador obr con mala fe o perversidad, por aquello que establece el Artculo 289 del C.P: 'El que a sabiendas...'. Cicern deca: 'Aliut est mentiri, alius dicere mendacium - una cosa es mentir, y otra cosa es decir mentira'. Se dice mentira cuando se </w:t>
            </w:r>
            <w:r w:rsidRPr="001B7F27">
              <w:rPr>
                <w:rFonts w:ascii="Arial" w:eastAsia="Times New Roman" w:hAnsi="Arial" w:cs="Arial"/>
                <w:color w:val="003399"/>
                <w:sz w:val="17"/>
                <w:szCs w:val="17"/>
                <w:lang w:eastAsia="es-AR"/>
              </w:rPr>
              <w:lastRenderedPageBreak/>
              <w:t xml:space="preserve">afirma o se niega una cosa creyendo que esa es la verdad, y, se miente, cuando se es conciente de que se est diciendo mentira.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este razonamiento se puede tambin afirmar que una cosa es decir falsedades y otra cosa es ser falso, o sea, se puede ser falso sin ser falsario. Concretamente, se puede acusar falsamente a un inocente sin saber la falsedad, por lo que es sabia la ley cuando exige como otro de los elementos del delito - ' a sabiendas' - es decir, que el agente sea un falsario. Porque por ejemplo: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Qu va a pasar si Juan querella a Pedro, sindicado por la polica por el homicidio de su padre, pero resulta que transcurrido un tiempo no se pudo probar la responsabilidad criminal de Pedro y es sobresedo libremente por el Juez?.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Se condenara a Juan por falsa querella? </w:t>
            </w:r>
            <w:r w:rsidRPr="001B7F27">
              <w:rPr>
                <w:rFonts w:ascii="MS Gothic" w:eastAsia="MS Gothic" w:hAnsi="MS Gothic" w:cs="MS Gothic"/>
                <w:color w:val="003399"/>
                <w:sz w:val="17"/>
                <w:szCs w:val="17"/>
                <w:lang w:eastAsia="es-AR"/>
              </w:rPr>
              <w:t>ｿ</w:t>
            </w:r>
            <w:r w:rsidRPr="001B7F27">
              <w:rPr>
                <w:rFonts w:ascii="Arial" w:eastAsia="Times New Roman" w:hAnsi="Arial" w:cs="Arial"/>
                <w:color w:val="003399"/>
                <w:sz w:val="17"/>
                <w:szCs w:val="17"/>
                <w:lang w:eastAsia="es-AR"/>
              </w:rPr>
              <w:t xml:space="preserve"> Juan minti o dijo mentira? Es falso o es falsario?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respuesta es NEGATIVA, porque en primer lugar, Juan no invent el hecho: el homicidio de su padre. En segundo lugar, querell a Pedro porque fue sindicado por la polica. En tercer lugar, promovi la querella en la creencia de que fue Pedro el autor. Puede sustraerse de esta simple exposicin que Juan no actu con mala fe, mucho menos con perversidad.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Por si faltara argumento, se puede agregar que Juan ejerci un legtimo derecho, el de solicitar el castigo del responsable de la muerte de su padre. En concreto, no puede condenarse a Juan por querella o denuncia falsa porque falta uno de los elementos subjetivos del delito: 'El que a sabiendas...' del Art. 289 del C.P.P, o sea, la mala fe, la perversidad. Vale decir, finalmente que Juan dijo mentira, pero no minti; Juan fue falso, pero no falsario.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las circunstancias sealadas, vale repetir que la obligacin de derecho procesal no se agota en la verdad objetiva, es decir, la verdad del hecho, porque es slo uno de los elementos del delito, debe buscarse la verdad subjetiva, la intencin, el mvil y la energa puesta por el agente para la comisin del delito a fin de establecer una imputacin correcta. En concreto, no se llega a las dos verdades que exige el Cdigo Penal con la frmula propuesta por el Procedimiento Abreviado: que reconozca el hecho y consienta el procedimiento del Artculo 420 del Cdigo Procesal Penal.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w:t>
            </w:r>
            <w:r w:rsidRPr="001B7F27">
              <w:rPr>
                <w:rFonts w:ascii="MS Gothic" w:eastAsia="MS Gothic" w:hAnsi="MS Gothic" w:cs="MS Gothic"/>
                <w:color w:val="003399"/>
                <w:sz w:val="17"/>
                <w:szCs w:val="17"/>
                <w:lang w:eastAsia="es-AR"/>
              </w:rPr>
              <w:t>ﾌ</w:t>
            </w:r>
            <w:r w:rsidRPr="001B7F27">
              <w:rPr>
                <w:rFonts w:ascii="Arial" w:eastAsia="Times New Roman" w:hAnsi="Arial" w:cs="Arial"/>
                <w:color w:val="003399"/>
                <w:sz w:val="17"/>
                <w:szCs w:val="17"/>
                <w:lang w:eastAsia="es-AR"/>
              </w:rPr>
              <w:t xml:space="preserve">A </w:t>
            </w:r>
            <w:r w:rsidRPr="001B7F27">
              <w:rPr>
                <w:rFonts w:ascii="Arial" w:eastAsia="Times New Roman" w:hAnsi="Arial" w:cs="Arial"/>
                <w:color w:val="003399"/>
                <w:sz w:val="17"/>
                <w:szCs w:val="17"/>
                <w:lang w:eastAsia="es-AR"/>
              </w:rPr>
              <w:br/>
              <w:t>- CÓDIGO PROCESAL PENAL - Ley Nº 1286/98 - Publicado por el Instituto de Estudios Comparados de Ciencias Penales y Sociales.</w:t>
            </w:r>
            <w:r w:rsidRPr="001B7F27">
              <w:rPr>
                <w:rFonts w:ascii="Arial" w:eastAsia="Times New Roman" w:hAnsi="Arial" w:cs="Arial"/>
                <w:color w:val="003399"/>
                <w:sz w:val="17"/>
                <w:szCs w:val="17"/>
                <w:lang w:eastAsia="es-AR"/>
              </w:rPr>
              <w:br/>
              <w:t>- C</w:t>
            </w:r>
            <w:r w:rsidRPr="001B7F27">
              <w:rPr>
                <w:rFonts w:ascii="MS Gothic" w:eastAsia="MS Gothic" w:hAnsi="MS Gothic" w:cs="MS Gothic"/>
                <w:color w:val="003399"/>
                <w:sz w:val="17"/>
                <w:szCs w:val="17"/>
                <w:lang w:eastAsia="es-AR"/>
              </w:rPr>
              <w:t>ﾒ</w:t>
            </w:r>
            <w:r w:rsidRPr="001B7F27">
              <w:rPr>
                <w:rFonts w:ascii="Arial" w:eastAsia="Times New Roman" w:hAnsi="Arial" w:cs="Arial"/>
                <w:color w:val="003399"/>
                <w:sz w:val="17"/>
                <w:szCs w:val="17"/>
                <w:lang w:eastAsia="es-AR"/>
              </w:rPr>
              <w:t>DIGO PENAL DE LA REP</w:t>
            </w:r>
            <w:r w:rsidRPr="001B7F27">
              <w:rPr>
                <w:rFonts w:ascii="MS Gothic" w:eastAsia="MS Gothic" w:hAnsi="MS Gothic" w:cs="MS Gothic"/>
                <w:color w:val="003399"/>
                <w:sz w:val="17"/>
                <w:szCs w:val="17"/>
                <w:lang w:eastAsia="es-AR"/>
              </w:rPr>
              <w:t>ﾙ</w:t>
            </w:r>
            <w:r w:rsidRPr="001B7F27">
              <w:rPr>
                <w:rFonts w:ascii="Arial" w:eastAsia="Times New Roman" w:hAnsi="Arial" w:cs="Arial"/>
                <w:color w:val="003399"/>
                <w:sz w:val="17"/>
                <w:szCs w:val="17"/>
                <w:lang w:eastAsia="es-AR"/>
              </w:rPr>
              <w:t>BLICA DEL PARAGUAY Ley N</w:t>
            </w:r>
            <w:r w:rsidRPr="001B7F27">
              <w:rPr>
                <w:rFonts w:ascii="MS Gothic" w:eastAsia="MS Gothic" w:hAnsi="MS Gothic" w:cs="MS Gothic"/>
                <w:color w:val="003399"/>
                <w:sz w:val="17"/>
                <w:szCs w:val="17"/>
                <w:lang w:eastAsia="es-AR"/>
              </w:rPr>
              <w:t>ｺ</w:t>
            </w:r>
            <w:r w:rsidRPr="001B7F27">
              <w:rPr>
                <w:rFonts w:ascii="Arial" w:eastAsia="Times New Roman" w:hAnsi="Arial" w:cs="Arial"/>
                <w:color w:val="003399"/>
                <w:sz w:val="17"/>
                <w:szCs w:val="17"/>
                <w:lang w:eastAsia="es-AR"/>
              </w:rPr>
              <w:t xml:space="preserve"> 1160/97.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PIERO CALAMANDREI Estudios Sobre el Proceso Civil Tomo III Editorial EJEA Bs. As. Ao 1973.</w:t>
            </w:r>
            <w:r w:rsidRPr="001B7F27">
              <w:rPr>
                <w:rFonts w:ascii="Arial" w:eastAsia="Times New Roman" w:hAnsi="Arial" w:cs="Arial"/>
                <w:color w:val="003399"/>
                <w:sz w:val="17"/>
                <w:szCs w:val="17"/>
                <w:lang w:eastAsia="es-AR"/>
              </w:rPr>
              <w:br/>
              <w:t>- PIERO CALAMANDREI Proceso y Democracia.</w:t>
            </w:r>
            <w:r w:rsidRPr="001B7F27">
              <w:rPr>
                <w:rFonts w:ascii="Arial" w:eastAsia="Times New Roman" w:hAnsi="Arial" w:cs="Arial"/>
                <w:color w:val="003399"/>
                <w:sz w:val="17"/>
                <w:szCs w:val="17"/>
                <w:lang w:eastAsia="es-AR"/>
              </w:rPr>
              <w:br/>
              <w:t>- HERNANDO DAVIS ECHAND</w:t>
            </w:r>
            <w:r w:rsidRPr="001B7F27">
              <w:rPr>
                <w:rFonts w:ascii="MS Gothic" w:eastAsia="MS Gothic" w:hAnsi="MS Gothic" w:cs="MS Gothic"/>
                <w:color w:val="003399"/>
                <w:sz w:val="17"/>
                <w:szCs w:val="17"/>
                <w:lang w:eastAsia="es-AR"/>
              </w:rPr>
              <w:t>ﾌ</w:t>
            </w:r>
            <w:r w:rsidRPr="001B7F27">
              <w:rPr>
                <w:rFonts w:ascii="Arial" w:eastAsia="Times New Roman" w:hAnsi="Arial" w:cs="Arial"/>
                <w:color w:val="003399"/>
                <w:sz w:val="17"/>
                <w:szCs w:val="17"/>
                <w:lang w:eastAsia="es-AR"/>
              </w:rPr>
              <w:t>A Teora General de la Prueba Judicial Tomo I Editorial ZAVAL</w:t>
            </w:r>
            <w:r w:rsidRPr="001B7F27">
              <w:rPr>
                <w:rFonts w:ascii="MS Gothic" w:eastAsia="MS Gothic" w:hAnsi="MS Gothic" w:cs="MS Gothic"/>
                <w:color w:val="003399"/>
                <w:sz w:val="17"/>
                <w:szCs w:val="17"/>
                <w:lang w:eastAsia="es-AR"/>
              </w:rPr>
              <w:t>ﾌ</w:t>
            </w:r>
            <w:r w:rsidRPr="001B7F27">
              <w:rPr>
                <w:rFonts w:ascii="Arial" w:eastAsia="Times New Roman" w:hAnsi="Arial" w:cs="Arial"/>
                <w:color w:val="003399"/>
                <w:sz w:val="17"/>
                <w:szCs w:val="17"/>
                <w:lang w:eastAsia="es-AR"/>
              </w:rPr>
              <w:t>A Bs. As. Ao 1988.</w:t>
            </w:r>
            <w:r w:rsidRPr="001B7F27">
              <w:rPr>
                <w:rFonts w:ascii="Arial" w:eastAsia="Times New Roman" w:hAnsi="Arial" w:cs="Arial"/>
                <w:color w:val="003399"/>
                <w:sz w:val="17"/>
                <w:szCs w:val="17"/>
                <w:lang w:eastAsia="es-AR"/>
              </w:rPr>
              <w:br/>
              <w:t>- FRANCESCO CARRARA Programa de Derecho Criminal Tomo II.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KARL MITTERMAIER Tratado de la Prueba en Materia Criminal Editorial Hammurabbi Bs. As. Ao 1979.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VICTOR B. RIQUELME Instituciones de Derecho Procesal Tomo 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HANS HEINRICH JESCHECK - Tratado de Derecho Penal Parte General Editorial Comares Granada Ao 1993.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JOS</w:t>
            </w:r>
            <w:r w:rsidRPr="001B7F27">
              <w:rPr>
                <w:rFonts w:ascii="MS Gothic" w:eastAsia="MS Gothic" w:hAnsi="MS Gothic" w:cs="MS Gothic"/>
                <w:color w:val="003399"/>
                <w:sz w:val="17"/>
                <w:szCs w:val="17"/>
                <w:lang w:eastAsia="es-AR"/>
              </w:rPr>
              <w:t>ﾉ</w:t>
            </w:r>
            <w:r w:rsidRPr="001B7F27">
              <w:rPr>
                <w:rFonts w:ascii="Arial" w:eastAsia="Times New Roman" w:hAnsi="Arial" w:cs="Arial"/>
                <w:color w:val="003399"/>
                <w:sz w:val="17"/>
                <w:szCs w:val="17"/>
                <w:lang w:eastAsia="es-AR"/>
              </w:rPr>
              <w:t xml:space="preserve"> LUIS CLEMENTE Cdigo Procesal Penal de la Provincia de Crdoba Editorial LERNER Tomo IV.</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FRANCISCO MU</w:t>
            </w:r>
            <w:r w:rsidRPr="001B7F27">
              <w:rPr>
                <w:rFonts w:ascii="MS Gothic" w:eastAsia="MS Gothic" w:hAnsi="MS Gothic" w:cs="MS Gothic"/>
                <w:color w:val="003399"/>
                <w:sz w:val="17"/>
                <w:szCs w:val="17"/>
                <w:lang w:eastAsia="es-AR"/>
              </w:rPr>
              <w:t>ﾑ</w:t>
            </w:r>
            <w:r w:rsidRPr="001B7F27">
              <w:rPr>
                <w:rFonts w:ascii="Arial" w:eastAsia="Times New Roman" w:hAnsi="Arial" w:cs="Arial"/>
                <w:color w:val="003399"/>
                <w:sz w:val="17"/>
                <w:szCs w:val="17"/>
                <w:lang w:eastAsia="es-AR"/>
              </w:rPr>
              <w:t>OZ CONDE Derecho Penal Parte General Valencia, Espaa Ao 1996.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JOSE I. CAFFERATA NORES Introduccin.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JULIO B. MAIER Fundamentos Volumen 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JORGE CLARI OLMEDO Tratado Tomo 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1 Abogada y Notaria. Agente Fiscal en lo Penal, asignada a la Unidad 6, de la Circunscripcin Judicial de la Capital. Maestra en Derecho Penal y Procesal Penal, con el Prof. Dr. Wolfgang Schone, Uninorte, Ao 2001/2002. </w:t>
            </w:r>
          </w:p>
          <w:p w:rsidR="001B7F27" w:rsidRPr="001B7F27" w:rsidRDefault="001B7F27" w:rsidP="001B7F27">
            <w:pPr>
              <w:spacing w:before="100" w:beforeAutospacing="1" w:after="100" w:afterAutospacing="1" w:line="240" w:lineRule="auto"/>
              <w:jc w:val="right"/>
              <w:rPr>
                <w:rFonts w:ascii="Arial" w:eastAsia="Times New Roman" w:hAnsi="Arial" w:cs="Arial"/>
                <w:color w:val="003399"/>
                <w:sz w:val="17"/>
                <w:szCs w:val="17"/>
                <w:lang w:eastAsia="es-AR"/>
              </w:rPr>
            </w:pPr>
            <w:hyperlink r:id="rId88" w:anchor="arriba" w:history="1">
              <w:r w:rsidRPr="001B7F27">
                <w:rPr>
                  <w:rFonts w:ascii="Arial" w:eastAsia="Times New Roman" w:hAnsi="Arial" w:cs="Arial"/>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8" w:name="28"/>
            <w:bookmarkEnd w:id="28"/>
            <w:r w:rsidRPr="001B7F27">
              <w:rPr>
                <w:rFonts w:ascii="Arial" w:eastAsia="Times New Roman" w:hAnsi="Arial" w:cs="Arial"/>
                <w:b/>
                <w:bCs/>
                <w:color w:val="009933"/>
                <w:sz w:val="20"/>
                <w:szCs w:val="20"/>
                <w:lang w:eastAsia="es-AR"/>
              </w:rPr>
              <w:t>"Régimen Jurídico Bursátil Apuntes Introductorios "</w:t>
            </w:r>
            <w:r w:rsidRPr="001B7F27">
              <w:rPr>
                <w:rFonts w:ascii="Arial" w:eastAsia="Times New Roman" w:hAnsi="Arial" w:cs="Arial"/>
                <w:color w:val="003399"/>
                <w:sz w:val="17"/>
                <w:szCs w:val="17"/>
                <w:lang w:eastAsia="es-AR"/>
              </w:rPr>
              <w:br/>
              <w:t>José Antonio Moreno Rodríguez 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Civil y Comercial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89"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 LOS MERCADOS BURSÁTILES: GENERALIDADES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Desde tiempos inmemoriales, los comerciantes vienen propiciando encuentros – o ferias – en determinados lugares destinados a la venta de sus productos al público, con lo cual atraen la demanda y, como natural contrapartida, se ven obligados a competir por el precio. Tal es la esencia del funcionamiento de los mercados.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los recintos de las bolsas ocurre lo mismo que en cualquiera de estas ferias, con la peculiaridad de que se ofertan o demandan allí instrumentos, representativos de valores o bienes, mecanismo con el cual se tiende a optimizar la colocación de los mismos y la adecuada formación de precios a través de los llamados mercados bursátiles.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sus inicios, esta actividad era bastante informal. Sin embargo, actualmente la mayoría de los países cuentan con una detallada regulación – sea en la órbita pública, sea en la esfera privada – de toda la operatoria bursátil, a fin de resguardar a quienes actúan en ella, y particularmente al público inversor, masivamente atraído a la adquisición de los instrumentos allí ofertados debido a perspectivas de buen rendimiento.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Hoy día las instalaciones físicas de las bolsas y los papeles tienden a ser sustituidos por mecanismos electrónicos de negociación, pero la idea central es siempre la misma: acercar a vendedores y potenciales compradores de instrumentos – que se “desmaterializan” en virtud del mecanismo virtual de negociación empleado – con lo cual se persigue liquidez o demanda para los mismos y precios “de mercado” como consecuencia del acceso que tienen los potenciales oferentes para estas operaciones.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2. MERCADOS DE VALORES Y DE PRODUCTOS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Están hoy día claramente diferenciados los mercados de valores y los mercados de productos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 Los mercados de productos son utilizados masivamente para canalizar –principalmente– las transacciones a futuro, como, por ejemplo, las relativas a la cotización de eventuales cosechas de productos agrícolas a fechas determinadas, de modo que un precio mayor al vencimiento constituirá ganancia para el inversor, y viceversa. Lo mismo puede hacerse con la cotización futura de monedas extranjeras, o con eventuales variaciones en tasas de interés.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Como puede verse, estos mercados representan no solo una importante fuente de financiamiento para actividades productivas, sino también un modo de cobertura para que emprendimientos futuros no se vean afectados por potenciales fluctuaciones económicas o monetarias. Los riesgos son en muchos casos elevados para el inversor, pero en contrapartida se está ante operaciones que de resultar exitosas pueden generar altos rendimientos para los mismos.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b) En los mercados de valores, por su parte, se intercambian mayoritariamente papeles – o su representación electrónica –, como acciones de sociedades anónimas o corporaciones; o títulos de deuda, entre los cuales se encuentran los bonos (de vencimiento a mediano y largo plazo) y los pagarés o papeles comerciales (por lo general de vencimiento a corto plazo)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compra de acciones implica la participación en el capital y en el riesgo de emprendimientos que, de resultar exitosos, deberían generar a favor de sus titulares – normalmente – mayores beneficios que los resultantes de </w:t>
            </w:r>
            <w:r w:rsidRPr="001B7F27">
              <w:rPr>
                <w:rFonts w:ascii="Arial" w:eastAsia="Times New Roman" w:hAnsi="Arial" w:cs="Arial"/>
                <w:color w:val="003399"/>
                <w:sz w:val="17"/>
                <w:szCs w:val="17"/>
                <w:lang w:eastAsia="es-AR"/>
              </w:rPr>
              <w:lastRenderedPageBreak/>
              <w:t xml:space="preserve">inversiones en títulos de deuda. Estos últimos, como los bonos, por ejemplo, instrumentan endeudamientos de quienes recurren a su emisión.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Existen aquí importantes semejanzas con el crédito que obtienen las empresas con los bancos, con la diferencia de que estos normalmente no asumen compromisos a mediano o largo plazo, por resultar de mayor riesgo; o estipulan tasas de interés superiores. Ello se explica porque, en las operaciones de crédito, los bancos normalmente asumen en exclusividad las contingencias ante eventuales incumplimientos de sus deudores, en tanto que vía mercado de valores dicho riesgo se atomiza al trasladarse a la generalidad de los inversores que apuestan a estos valores representativos de deuda.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relación entre banca y bolsa resulta, sin embargo, cada día más estrecha. A ella nos referimos a continuación.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3. EL MERCADO DE VALORES Y EL SISTEMA BANCARIO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un mercado, se ofrecen y demandan bienes y servicios. Y el precio es, precisamente, la adecuación entre la oferta y la demanda.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Siguiendo la terminología de Fernández Armesto, una de las divisiones dentro del mercado de bienes y servicios, constituye la del mercado financiero. Éste se distingue por su objeto, que es el dinero, bien directamente, bien representado en valores negociables. El mercado financiero se subdivide en mercado de crédito y mercado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Lo típico del mercado de crédito, o bancario, es que los intermediarios captan el ahorro ofreciendo su propia solvencia y garantía al ahorrador. El inversor no asume el riesgo del destinatario final de los fondos, sino del intermediario a través del cual se canalizar el crédito. De allí la enorme importancia de la solvencia de las entidades.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su parte, en el mercado de valores se negocian papeles o valores desmaterializados vía electrónica. Dichos valores son homogéneos y de valor unitario bajo, lo que facilita el funcionamiento de mercados organizados, como lo son los bursátiles, en los que se transmiten con facilidad a precios objetivamente determinados. La función de los intermediarios es distinta, al circunscribirse a colocar valores entre el público, sin que añadan su propia solvencia como garantía de pago de los mismos, cosa que no ocurre tanto con el mercado de crédito en que existen requisitos legales y reglamentarios de solvencia y de garantía de depósitos . Ello – obviamente – requiere una mayor información de los emisores.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No obstante lo expuesto, resulta cada vez más difícil establecer una línea teórica o conceptual entre lo que atañe a la operatoria bancaria, por un lado, y por el otro lado al mercado de valores (el mercado de capitales en general comprende también las actividades bancarias, financieras, aseguradoras, etcétera)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Tradicionalmente, los bancos comerciales captaban recursos a través de depósitos del público y los colocaban en préstamos, por lo general a corto plazo, en tanto que, por intermedio del mercado de valores, se emitían títulos que eran adquiridos por inversores, individuales o institucionales, con los cuales se obtenían fondos para solventar proyectos de mediano o largo plazo.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brecha entre lo bancario y lo bursátil tiende a desaparecer cada día más, sobre todo a partir de las profundas reformas de que han sido objeto los bancos en los últimos tiempos, en que existe una tendencia a eliminar la segmentación del sector hacia una banca múltiple que realiza no solo las operaciones tradicionales de depósito y préstamo a corto plazo y algunos servicios, como los relativos al comercio exterior, sino que ha extendido la esfera de sus operaciones a otras como la intermediación de valores, el underwriting, el fideicomiso y la securitización, por citar ejemplos, con lo cual los bancos, amén de realizar actividades propias del mercado de valores y de ampliar el elenco de los servicios ofertados, pasaron a ocupar un rol activo no solo en la financiación sino en la participación accionaria en emprendimientos de mediano y largo plazo.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4. Importancia DEL MERCADO BURSÁTIL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mercado bursátil resulta de suma utilidad para quienes emiten valores, para el público inversor y para la economía toda de un país. En efecto, el libre juego de la oferta y la demanda hace que se obtenga un financiamiento a un costo menor que el de otras alternativas tradicionales, o a compartir el riesgo con el público en proyectos de envergadura. A su vez, el público tiene acceso a inversiones, de mayor o menor rentabilidad o riesgo, según el tipo de operaciones, normalmente de gran liquidez, puesto que los valores adquiridos pueden ser nuevamente ofertados </w:t>
            </w:r>
            <w:r w:rsidRPr="001B7F27">
              <w:rPr>
                <w:rFonts w:ascii="Arial" w:eastAsia="Times New Roman" w:hAnsi="Arial" w:cs="Arial"/>
                <w:color w:val="003399"/>
                <w:sz w:val="17"/>
                <w:szCs w:val="17"/>
                <w:lang w:eastAsia="es-AR"/>
              </w:rPr>
              <w:lastRenderedPageBreak/>
              <w:t xml:space="preserve">a potenciales inversores a través del sistema del mercado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Los beneficios para el país saltan a la vista: se fomenta el ahorro de mediano y largo plazo, se democratiza el capital de las empresas, a permitir al público en general invertir en los valores que lo representa; se logra una mayor transparencia en el manejo de empresas; se cuenta con una fuente de financiamiento eficiente que ayuda al desarrollo nacional, etcétera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5. REGULACIÓN DE LOS MERCADOS DE VALORES Y PRODUCTOS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Existen tres sistemas básicos de organización y funcionamiento de bolsas de valores y productos. En primer lugar, puede reservarse exclusivamente a la iniciativa privada todo lo referente de dichas actividades y su regulación. Un sistema diametralmente opuesto es el que asigna dichas funciones a la autoridad pública, con lo cual las bolsas de comercio pasan a constituir verdaderos establecimientos oficiales. Por último, puede concederse a la iniciativa privada la realización de actividades de bolsa, bajo control de las autoridades del Estado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Este último parece ser el sistema que mejor conjuga la necesidad de dejar libradas a la iniciativa privada las actividades bursátiles, y la de efectuar el necesario contralor por parte del Estado, en resguarda del ahorro público y los intereses generales.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otro lado, cabe destacar que existen dos formas de encarar la intervención estatal en el mercado de valores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Conforme al sistema de enfoque de méritos, las propias autoridades evalúan los valores a ser ofertado al público, la solvencia y la liquidez del emisor, etcétera.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tanto que según el enfoque de revelación de la información, la autoridad solo se encarga de controlar que la información sea transparente y brindada en forma oportuna, trasladando al mercado la evaluación correspondiente. Este – como se verá – constituye el sistema adoptado en nuestro país.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6. MARCO JURÍDICO EN EL PARAGUAY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normativa relacionada al Mercado de Valores y de Productos presenta diversas deficiencias, una de las cuales constituye su desordenada dispersión en numerosas leyes y reglamentaciones, varias de ellas superpuestas – e incluso en ocasiones innecesarias y hasta contradictorias –. Puede constatarse que reina un caos absoluto, además, en lo que respecta a derogaciones y a otros aspectos legísticos, incurriéndose en reiteradas violaciones a cánones generalmente aceptados en la materia, arriba establecidos.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Leyes bursátiles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Ley Marco del Mercado de Valores constituye la 1284/98 . La de Bolsa de Productos la 1163/97. Otras leyes son la 811/96 de Fondos Patrimoniales de Inversión; la Ley 1036/97 de sociedades securitizadores; la Ley 1056/97 "Que regula y crea a las sociedades calificadoras de riesgo"; y la Ley 701/95 precisa el objeto de la prohibición de la venta con pacto de retroventa y el pacto de reventa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b) Otras leyes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También se encuentran relacionados el Código Civil, la Ley del Comerciante, la Ley 701/95 (que precisa el objeto de la prohibición de la venta con pacto de retroventa y el pacto de reventa) y otras normas como la Ley 921/96 de "Negocios Fiduciarios"; la Ley 1015/97 “Que previene y reprime los actos ilícitos destinados a la legitimación de dinero o bienes”; la Ley 827/96 de "Seguros"; y la Ley 861/96 "General de Bancos, Financieras y Otras Entidades de Crédito”.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 Resoluciones del mercado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resoluciones reglamentarias adquieren particular importancia, debido al dinamismo propio del mercado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Entre ellas se encuentran las emanadas de la Comisión Nacional de Valores y las dictadas por la autoridad </w:t>
            </w:r>
            <w:r w:rsidRPr="001B7F27">
              <w:rPr>
                <w:rFonts w:ascii="Arial" w:eastAsia="Times New Roman" w:hAnsi="Arial" w:cs="Arial"/>
                <w:color w:val="003399"/>
                <w:sz w:val="17"/>
                <w:szCs w:val="17"/>
                <w:lang w:eastAsia="es-AR"/>
              </w:rPr>
              <w:lastRenderedPageBreak/>
              <w:t xml:space="preserve">reguladora, en este caso la Bolsa de Valores y Productos de Asunción S.A.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 Normas del sistema bancario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Tales son, además de las leyes bancarias, las regulaciones del Banco Central sobre valores bursátiles de oferta pública que emiten los bancos (como los Certificados Bursátiles, o los Certificados de Call Interfinanciero)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 Normas del Mercado Común del Sur (MERCOSUR)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MERCOSUR cuenta con las Decisiones 8 del año 1993 y 13 del año 1994. Además, los subgrupos de trabajo han avanzado bastante temas bursátiles y afines, apuntando a una integración de los mercados.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7. LEY 1248 DEL MERCADO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ley 1248 del año 1998 del “Mercado de Valores” contiene normas destinadas a resguardar la información y transparencia en las ofertas públicas de valores, tanto las que se hagan en bolsa como las que se realicen fuera de ella (a través de diarios u otros medios masivos de comunicación).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También regula los distintos actores del sistema, como lo son la autoridad administrativa (Comisión Nacional de Valores), las organizaciones privadas que canalizan las operaciones bursátiles (Bolsas de Valores), los intermediarios (Casas de Bolsa), los emisores de valores, y los inversores, individuales e institucionales.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8. OFERTA PÚBLICA Y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normativa del mercado bursátil tiene por objeto primordial resguardar a inversores o interesados con respecto a las ofertas públicas de valores que se hagan. Quedan excluidas, como consecuencia, las ofertas o colocaciones privadas, es decir, no dirigidas al público o a grupos determinados en general.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Constituye también característica de estos ofrecimientos que los valores son todos negociables y se emiten en serie o en masa, con iguales características que los hacen fungibles entre sí.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Los valores de oferta pública pueden ser de renta fija – o de deuda – y de renta variable.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Estos últimos conllevan la participación en el riesgo de un negocio, y por tanto solo generan rendimiento en cuanto existan utilidades, como ocurre por ejemplo con las acciones, que representan la parte alícuota del capital de una sociedad anónima. Algo parecido ocurre también con certificados de participación o similares con relación a determinados emprendimientos.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Por su parte, los valores de renta fija generan intereses, que son pagaderos a sus vencimientos respectivos conforme a cuanto haya sido estipulado. Así ocurre con los títulos de deuda, que representan la participación individual en un crédito colectivo constituido a cargo de una entidad. Pueden ser quirografarios, es decir, sin garantías específicas; o hipotecarios o prendarios. Estos últimos cuentan con garantías reales. Ellas, a su vez, pueden ser fijas o flotantes, según se refieran a la totalidad de los bienes de la entidad, o a determinados bienes. Por su forma de liquidación, los títulos de deuda pueden ser simples o subordinados: en este último caso, solo procede el pago una vez satisfechas en su totalidad las demás adeudas.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9. MERCADO PRIMARIO Y SECUNDARIO, BURSÁTIL Y EXTRABURSÁTIL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Los valores (acciones, bonos, etcétera) que son emitidos para oferta pública requieren ser colocados, es decir, debe encontrarse interesados en su adquisición. Tal constituye el mercado primario, en que el emisor emite y coloca – por cuenta propia o recurriendo a intermediarios – valores de oferta pública. Los fondos de la colocación primaria ingresan a la entidad que emite los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el mercado secundario, sin embargo, ya no interviene el emisor – salvo que adquiera sus propios títulos –, puesto que allí las operaciones tendrán lugar entre quienes tengan interés en comprar y vender los títulos.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Estas operaciones a su vez podrán ser bursátiles o extrabursátiles. Las primeras se llevarán a cabo en los recintos de las bolsas, conforme a los mecanismos de negociación allí establecidos. Hoy día en diversos países dicha negociación se efectúa también por vía electrónica. Pero no necesariamente las operaciones deben realizarse </w:t>
            </w:r>
            <w:r w:rsidRPr="001B7F27">
              <w:rPr>
                <w:rFonts w:ascii="Arial" w:eastAsia="Times New Roman" w:hAnsi="Arial" w:cs="Arial"/>
                <w:color w:val="003399"/>
                <w:sz w:val="17"/>
                <w:szCs w:val="17"/>
                <w:lang w:eastAsia="es-AR"/>
              </w:rPr>
              <w:lastRenderedPageBreak/>
              <w:t xml:space="preserve">dentro de las bolsas; también puede operarse fuera de ellas, en negociación directa con los interesados.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10. COMISIÓN NACIONAL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Constituye el organismo de supervisión y control en materia de mercado de valores, conformado como organismo autárquico, es decir, con presupuesto propio; y autónomo, lo cual implica que tiene facultades reglamentarias. Se relaciona con el Poder Ejecutivo por intermedio del Ministerio de Industria y Comercio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Ante la Comisión Nacional de Valores se registran los valores objeto de oferta pública, así como las entidades que participan en el mercado de valores, entre las cuales se encuentran quienes emiten los valores, sus auditores externos, los intermediarios, etcétera.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referida autoridad tiene amplias potestades reglamentarias en materia bursátil, a los efectos de asegurar la información y transparencia del mercado. Asimismo, supervisa a las instituciones participantes, y tiene facultades para investigarlas y para aplicar sanciones administrativas. La Comisión también autoriza los aranceles que se pueden cobrar en actividades bursátiles.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empresas bancarias, financieras y de seguros sometidas a la supervisión de sus respectivas autoridades, lo estarán también a cargo de la Comisión, en los aspectos que signifiquen una participación en el mercado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dirección y administración de la Comisión Nacional de Valores está a cargo de un Directorio, integrado por un Presidente y tres Directores, designados por el Poder Ejecutivo, uno de ellos a propuesta de la Cámara y Bolsa de Comercio. Duran en sus cargos cinco años, no coincidentes con el período presidencial. El Presidente de la Comisión es la autoridad máxima de la institución y del Directorio, y tiene la representación legal de la entidad.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sesiones del Directorio las convoca el Presidente o a pedido de uno o más Directores, por lo menos una vez por semana. El directorio podrá sesionar válidamente con el quórum de tres directores y las resoluciones serán adoptadas por simple mayoría, salvo que la ley exija unanimidad. El Presidente tiene derecho a voto; en caso de empate, decide con el doble voto.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11. BOLSAS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nuestro país, las Bolsas de Valores deben constituirse como sociedades anónimas con objeto social exclusivo, cual es proveer a sus miembros la organización apropiada para que puedan realizar eficientemente transacciones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bolsas deberán constituirse con un número de casas de bolsa no inferior a diez. La calidad de accionista de una bolsa habilita al propietario a constituir una casa de bolsa.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bolsas no podrán distribuir dividendos entre sus socios. Sus utilidades se destinarán exclusivamente al desarrollo de la actividad bursátil.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bolsas deberán dictar las normas necesarias para regular y vigilar las operaciones bursátiles y la actividad de las casas de bolsa, estableciendo la información que éstas deban brindar. Sus reglamentos internos deben ser aprobados previamente por la Comisión Nacional de Valores, y contendrán normas relativas a las Casas de Bolsa, a los emisores, a las operaciones en bolsa, procedimientos, sanciones, y normas análogas.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Cada bolsa determinará el arancel de inscripción de las diversas clases y categorías de valores, así como los derechos que percibirá por las transacciones de valores negociados en su recinto. El arancel deberá ser aprobado previamente por la Comisión Nacional de Valores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12. BOLSA DE VALORES Y PRODUCTOS DE ASUNCIÓN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Bolsa de Valores y Productos de Asunción fue fundada en 1977 por empresarios agremiados en la Cámara y Bolsa de Comercio . Para ese entonces, países vecinos como Brasil, Argentina, Perú, Chile y otros en Sudamérica, ya contaban con una tradición centenaria en materia bursátil.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El intento no prosperó, y para el año 1979 se dispuso el cese temporal de sus actividades.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xml:space="preserve">En el año 1991 fue dictada la Ley No. 94, que derogó la deficiente legislación anterior en materia de mercado de valores y creó la Comisión Nacional de Valores, como ente de supervisión y regulación en la materia. Por su parte, la Ley Nº 210 del año 1993, estableció incentivos fiscales para las transacciones en Bolsa y además complementó y modificó algunas normas de la Ley 94/91.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fecha 11 de octubre del mismo año, se reabrieron las ruedas de negociación de la bolsa, con la participación de nueve sociedades emisoras registradas. Ello constituyó un hito de trascendencia, puesto que a partir de entonces y hasta la fecha, la Bolsa de Valores y Productos de Asunción ha venido funcionando normalmente – si bien, es cierto, con muy escasas operaciones – teniéndose el registro correspondiente de las actividades desarrolladas.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el año 1995 se dictó la Ley Nº 548/95 (“De Retasación y Regularización de Bienes de Empresas”). Dicha ley confería importantes incentivos fiscales para las empresas que regularizaran su situación patrimonial y operaran el bolsa, lográndose un registro total de cincuenta y seis sociedades emisoras.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Posteriormente, fueron dictadas numerosas leyes con el objeto de desarrollar el mercado de valores del país, referidas más arriba. No se ha logrado, sin embargo, imprimir un dinamismo apropiado a las actividades bursátiles en el país.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13. CASAS DE BOLSA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Casas de Bolsa participan en la intermediación de valores de oferta pública y tienen el derecho exclusivo e intransferible de operar en bolsa.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Deben hallarse constituidas como sociedades anónimas de objeto exclusivo (cual es la intermediación de valores), contar con el capital social mínimo y constituir las garantías requeridas por la legislación.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Casas de Bolsa realizan intermediación bursátil, como las de correduría, comisión u otras tendientes a poner en contacto la oferta y demanda de valores. Ello a través del correspondiente mandato para que la Casa de Bolsa realice operaciones a su nombre o a nombre de sus clientes.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Casas de Bolsa pueden administrar carteras de sus clientes. Si tienen autorización para hacerlo en forma discrecional, no requerirán de autorización previa o ratificación para realizar las operaciones, las cuales quedarán a su prudente arbitrio. Si no tienen dicha autorización, estarán sujetas en su accionar a las instrucciones previas del cliente, debiendo limitarse – a lo sumo – a realizar sugerencias. Una tercera modalidad alternativa constituye la de otorgar a las Casas de Bolsa una discreción limitada, dentro de determinados montos y circunscripta a tipos de valores específicos.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También efectúan operaciones de underwriting, o colocación de los valores emitidos por sus clientes. Normalmente, estas son realizadas o “en firme”, o “al mejor esfuerzo”. En las operaciones en firme, las Casas de Bolsa asumen la responsabilidad por la colocación de los valores, cosa que no ocurre cuando solo comprometen su mejor esfuerzo.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Las Casas de Bolsa también realizan operaciones propias de mesas de dinero, que son aquellas por las cuales se financia activos de pronta recuperación, o desfases temporales entre ingresos y gastos con dinero sobrante, en forma también temporal, altamente líquidos, con rendimiento preestablecido (fijo o variable) de bajo riesgo y plazo definido. Estas operaciones las realizan las Casas de Bolsa entre sí o con sus clientes, y pueden ser de dos tipos: 1º) Compraventa, en que el comprador adquiere un instrumento y corre con los diversos riegos del mismo (liquidez y tasa de interés, principalmente). 2º) Reporto: el reportador adquiere de otra persona (reportado) títulos con obligación de devolverlos en un plazo determinado, más un premio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Amén de ello, las Casas de Bolsa pueden realizar servicios de análisis financiero, como así también intervenir como representante de los obligacionistas.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Los bancos e instituciones financieras podrán constituir o participar en el capital de las Casas de Bolsa. Sin embargo, ninguna institución podrá ser accionista de más de una de ellas; y las Casas de Bolsa en cuyo capital participen algunas de las mencionadas instituciones, no podrán realizar operaciones con acciones emitidas por dichas entidades vinculadas.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xml:space="preserve">14. EMISORES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materia bursátil, la entidad privada emisora por excelencia constituye la sociedad anónima.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nuestro país el régimen normativo básico de las sociedades anónimas se encuentra contenido en el Código Civil y en la Ley 388/94, que modifica aquel cuerpo legal en algunos artículos de trascendental importancia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Para las sociedades acogidas al sistema del mercado de valores, rige, además, la Ley 1248/98 “Del Mercado de Valores”, que contienen normas específicas alusivas a la constitución y funcionamiento de las sociedades anónimas que se acojan al sistema.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Coexisten, pues, con respecto a las sociedades anónimas, las disposiciones de la legislación civil y comercial, por un lado, y por el otro las bursátiles, dispersión que genera algunos inconvenientes interpretativos, sobre todo por la existencia de distintas normativas derogadas expresa o implícitamente a través de los tiempos, con importantes antinomias, como por ejemplo con respecto al la dualidad de normas relativas a títulos deuda y obligaciones negociables y debentures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Está visto, pues, que lejos estamos aún de contar con una legislación coherente en materia de sociedades anónimas. Ello nos plantea el interrogante acerca de la conveniencia del tratamiento por separado de las emisoras de capital abierto en otra ley, específicamente de sociedades, que en primer lugar unifique y consolide las distintas dispersas, y en segundo lugar las mejore para que constituya realmente una legislación acorde con nuestros tiempos.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En países como Chile, Argentina y Uruguay, las emisoras de capital abierto reciben tratamiento en leyes específicas de sociedades, y no en leyes-marco del mercado de valores. De modo que lo dicho cuenta con precedentes muy cercanos en derecho comparado.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15. SOCIEDADES EMISORAS Y DE CAPITAL ABIERTO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Dentro del anterior régimen bursátil contenido en las leyes 94/91 y 210/93, las sociedades anónimas se dividían en emisoras y emisoras de capital abierto. Si bien se pretendía en principio que solo las segundas pudiesen emitir acciones, el texto que se desprendía de la citada normativa habilitaba a que ambas podían hacerlo, con lo cual la única consecuencia emergente de la constitución como emisora de capital abierto constituía la ventaja impositiva que estas últimas otorgaban hasta el año 1997 (o año 2008 para las sometidas al régimen de las leyes 548/95 y 1106/98). A diferencia de las simples emisoras, las sociedades emisoras de capital abierto requerían de un número mínimo de accionistas (en su momento treinta y cuatro, en una dispersión de no menos del 10 % del capital, no computándose accionistas con una tenencia inferior al 0,20 %).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actual ley 1248 del año 1998 se limita a prever que las sociedades anónimas de capital abierto son las que hacen oferta pública de sus acciones conforme a ella. Son peculiaridades resaltantes de estas sociedades de capital abierto las siguientes: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a) Solo ellas pueden – y deben – agregar a su denominación la de “sociedad anónima emisora de capital abierto”, pudiendo hacerlo también en forma abreviada por la sigla "S.A.E.C.A." No podrán agregar dicha expresión o su abreviatura, las sociedades anónimas que hagan oferta pública de otros valores que no sean acciones, las cuales estarán sujetas sin embargo a las demás disposiciones que rigen a las sociedades de capital abierto. b) Para obtener su inscripción en el Registro, las sociedades de capital abierto deberán contar con un capital social e integrado no inferior al monto establecido por la Comisión Nacional de Valores mediante resolución de carácter general .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c) De no mediar el procedimiento de suscripción pública, al constituirse la sociedad deberá suscribirse por entero el capital social e integrarse una tercera parte por lo menos; el saldo deberá integrarse en un plazo no superior a tres años. La integración deberá efectuarse por todos los accionistas en igual proporción y plazo, conforme lo dispongan los estatutos, o el directorio por delegación de éstos.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d) La disminución o el aumento del capital social se hará mediante modificación de los estatutos. El aumento conlleva necesariamente la correspondiente emisión de acciones, sin que sea necesaria otra asamblea para el efecto. La asamblea podrá delegar en el directorio la colocación de las acciones y la fijación de la forma de pago y plazos para el efecto. El aumento del capital social deberá suscribirse e integrarse dentro del plazo de tres años, en caso contrario, el capital quedará reducido al efectivamente suscrito e integrado. Este hecho deberá comunicarse a la Comisión, debiéndose asimismo convocar a una nueva asamblea para la consecuente modificación de los </w:t>
            </w:r>
            <w:r w:rsidRPr="001B7F27">
              <w:rPr>
                <w:rFonts w:ascii="Arial" w:eastAsia="Times New Roman" w:hAnsi="Arial" w:cs="Arial"/>
                <w:color w:val="003399"/>
                <w:sz w:val="17"/>
                <w:szCs w:val="17"/>
                <w:lang w:eastAsia="es-AR"/>
              </w:rPr>
              <w:lastRenderedPageBreak/>
              <w:t xml:space="preserve">estatutos.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e) Las acciones de las S.A.E.C.A. y de las que no S.A.E.C.A deberán ser todas nominativas. El valor de las mismas podrá estar expresado en moneda nacional o extranjera. Los estatutos pueden prever diversas clases de acciones con derechos diferentes; dentro de cada clase las acciones conferirán los mismos derechos. Las acciones podrán ser ordinarias de voto único o de voto múltiple, hasta cinco votos por acción, según lo determinen los estatutos. El privilegio en el voto es incompatible con preferencias patrimoniales. Las acciones también podrán ser preferidas, en cuyo caso sólo podrán tener derecho a un voto. Dichas acciones podrán asimismo carecer de voto, o tener derecho de voto con limitaciones, según se consigne expresamente en los estatutos.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f) La Comisión podrá autorizar a las sociedades sometidas a su control a que simplifiquen en casos calificados la forma de efectuar la transferencia de acciones, pudiendo inclusive utilizar medios electrónicos de transferencia, siempre que dichos sistemas resguarden debidamente los derechos de los accionistas.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g) Si así lo faculta el estatuto, las acciones no se representarán en títulos. A dicho efecto, la sociedad habilitará un registro de acciones escriturales, en el cual las acciones se inscribirán en cuentas llevadas a nombre de sus titulares. Dicho registro contendrá las mismas menciones del libro de registro de acciones. El registro de acciones escriturales también podrá ser llevado por bancos de plaza, o por cajas de valores autorizadas por la Comisión. La calidad de accionista se presume por las constancias de las cuentas abiertas en el registro de acciones escriturales. La sociedad será siempre responsable ante los accionistas por los errores o irregularidades de las cuentas, sin perjuicio de la responsabilidad del banco o caja de valores ante la sociedad, en su caso. La sociedad, la entidad bancaria o la caja de valores, según corresponda, deben otorgar al accionista el comprobante de la apertura de su cuenta y de todo movimiento que inscriban en ella. Todo accionista tiene además derecho a que se le entregue, en cualquier momento, constancia del saldo de su cuenta, a su costa, así como el comprobante correspondiente para participar en las asambleas de la sociedad.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h) Las sociedades autorizadas a hacer oferta pública podrán emitir certificados globales de sus acciones, con los requisitos del Artículo 1069 del Código Civil. A tal fin, se considerarán definitivos, negociables y divisibles.</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i) El Directorio deberá estar constituído por un número fijo e impar de por lo menos tres miembros.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j) La asamblea ordinaria de accionistas podrá designar a los auditores externos con el objeto de examinar la contabilidad, el inventario, el balance y otros estados financieros. Los estatutos sociales o la asamblea respectiva podrán delegar en el directorio las facultades de designación y remoción de los auditores externos.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k) Salvo acuerdo diferente adoptado en asamblea por al menos el setenta y cinco por ciento de las acciones presentes con derecho a voto, las sociedades deberán distribuir anualmente como dividendo en dinero a sus accionistas, a prorrata de sus acciones o en la proporción que establezcan los estatutos si hubiere acciones preferidas, a lo menos el diez por ciento de las utilidades líquidas de cada ejercicio.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 No se podrá hacer distribución provisoria de dividendos durante el ejercicio con cargo a las utilidades del mismo.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m) Salvo acuerdo diferente adoptado en la asamblea respectiva por la mayoría de los accionistas presentes, los dividendos deberán pagarse en dinero. Sin embargo, la sociedad podrá pagar dividendos, en lo que exceda al mínimo obligatorio, otorgando opción a los accionistas para recibirlos en dinero o en acciones de su propia emisión.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16. INVERSORES INDIVIDUALES E INSTITUCIONALES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Pueden ser titulares de operaciones en los mercados de valores tanto los inversores individuales como los institucionales. Estos últimos pueden ser los fondos mutuos, los fondos de inversión, los fondos o cajas de jubilaciones y pensiones, los fondos de inversión fiduciarios, las compañías de seguros, las casas de bolsa en su función de administradoras de carteras, o los Bancos, etcétera, que cuenten con una organización apropiada que les permita realizar inversiones en forma profesional. Pero también pueden ir al mercado – en su caso intermediación mediante – los inversores individuales, que sin contar con la infraestructura o la organización apropiada realicen operaciones con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17. INFORMACIÓN Y TRANSPARENCIA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Los emisores, las Casas de Bolsa y los demás actores del mercado de valores deben brindar información apropiada </w:t>
            </w:r>
            <w:r w:rsidRPr="001B7F27">
              <w:rPr>
                <w:rFonts w:ascii="Arial" w:eastAsia="Times New Roman" w:hAnsi="Arial" w:cs="Arial"/>
                <w:color w:val="003399"/>
                <w:sz w:val="17"/>
                <w:szCs w:val="17"/>
                <w:lang w:eastAsia="es-AR"/>
              </w:rPr>
              <w:lastRenderedPageBreak/>
              <w:t xml:space="preserve">a las autoridades y al público inversor conforme a la legislación y los reglamentos correspondientes.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Toda publicidad así como cualquier información remitida al público debe ser objeto de aprobación previa por la Comisión Nacional de Valores.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xml:space="preserve">La legislación prevé también normas destinadas a evitar la manipulación u otras distorsiones del mercado, a través del manejo indebido de información privilegiada (insider trading) que puedan tener sus directivos, controladores, etcétera.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En protección a la transparencia en el mercado de valores se contempla también severas sanciones administrativas e incluso penales destinadas a prevenir y reprimir comportamientos irregulares o indebidos.</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90"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29" w:name="29"/>
            <w:bookmarkEnd w:id="29"/>
            <w:r w:rsidRPr="001B7F27">
              <w:rPr>
                <w:rFonts w:ascii="Arial" w:eastAsia="Times New Roman" w:hAnsi="Arial" w:cs="Arial"/>
                <w:b/>
                <w:bCs/>
                <w:color w:val="009933"/>
                <w:sz w:val="20"/>
                <w:szCs w:val="20"/>
                <w:lang w:eastAsia="es-AR"/>
              </w:rPr>
              <w:t>"Sesiones del Congreso. Quórum y Mayorías"</w:t>
            </w:r>
            <w:r w:rsidRPr="001B7F27">
              <w:rPr>
                <w:rFonts w:ascii="Arial" w:eastAsia="Times New Roman" w:hAnsi="Arial" w:cs="Arial"/>
                <w:color w:val="003399"/>
                <w:sz w:val="17"/>
                <w:szCs w:val="17"/>
                <w:lang w:eastAsia="es-AR"/>
              </w:rPr>
              <w:br/>
              <w:t>Luis Lezcano Claude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Constitucional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91"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Introducción.</w:t>
            </w:r>
            <w:r w:rsidRPr="001B7F27">
              <w:rPr>
                <w:rFonts w:ascii="Arial" w:eastAsia="Times New Roman" w:hAnsi="Arial" w:cs="Arial"/>
                <w:color w:val="003399"/>
                <w:sz w:val="17"/>
                <w:szCs w:val="17"/>
                <w:lang w:eastAsia="es-AR"/>
              </w:rPr>
              <w:br/>
              <w:t>En el presente trabajo abordamos dos temas del derecho parlamentario. El primero de ellos es el de las sesiones del Congreso. Al respecto, se definen las diferentes clases de sesiones que pueden celebrar las cámaras legislativas, se dan sus características y se plantean algunos problemas sobre el particular.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otro tema es el del quórum y las mayorías. En cuanto a este punto hacemos una distinción de los diferentes conceptos, formulamos algunas observaciones acerca de la forma en que en la práctica se aplican dichos conceptos en las cámaras e, igualmente, damos nuestro parecer en lo referente al voto del presidente del cuerpo.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1. Sesiones.</w:t>
            </w:r>
            <w:r w:rsidRPr="001B7F27">
              <w:rPr>
                <w:rFonts w:ascii="Arial" w:eastAsia="Times New Roman" w:hAnsi="Arial" w:cs="Arial"/>
                <w:color w:val="003399"/>
                <w:sz w:val="17"/>
                <w:szCs w:val="17"/>
                <w:lang w:eastAsia="es-AR"/>
              </w:rPr>
              <w:br/>
              <w:t>El artículo 184 de la Constitución prescribe lo siguiente: “Ambas Cámaras del Congreso se reunirán anualmente en sesiones ordinarias, desde el primero de julio de cada año hasta el 30 de junio siguiente con un período de receso desde el veinte y uno de diciembre al primero de marzo, fecha ésta en la que rendirá su informe el Presidente de la República. Las dos Cámaras se convocarán a sesiones extraordinarias o prorrogarán sus sesiones por decisión de la cuarta parte de los miembros de cualquiera de ellas; por resolución de los dos tercios de integrantes de la Comisión Permanente del Congreso, o por decreto del Poder Ejecutivo. El Presidente del Congreso o el de la Comisión Permanente deberán convocarlas en el término perentorio de cuarenta y ocho horas.</w:t>
            </w:r>
            <w:r w:rsidRPr="001B7F27">
              <w:rPr>
                <w:rFonts w:ascii="Arial" w:eastAsia="Times New Roman" w:hAnsi="Arial" w:cs="Arial"/>
                <w:color w:val="003399"/>
                <w:sz w:val="17"/>
                <w:szCs w:val="17"/>
                <w:lang w:eastAsia="es-AR"/>
              </w:rPr>
              <w:br/>
              <w:t>Las prórrogas de sesiones serán efectuadas del mismo modo. Las extraordinarias se convocarán para tratar un orden del día determinado, y se clausurarán una vez que éste haya sido agotado”.2</w:t>
            </w:r>
            <w:r w:rsidRPr="001B7F27">
              <w:rPr>
                <w:rFonts w:ascii="Arial" w:eastAsia="Times New Roman" w:hAnsi="Arial" w:cs="Arial"/>
                <w:color w:val="003399"/>
                <w:sz w:val="17"/>
                <w:szCs w:val="17"/>
                <w:lang w:eastAsia="es-AR"/>
              </w:rPr>
              <w:br/>
              <w:t>Esta disposición regla las siguientes cuestiones: sesiones ordinarias, sesiones extraordinarias y prórroga de las sesiones ordinarias. El Art. 185, 1er. pfo., Cn., se refiere a las sesiones conjuntas.</w:t>
            </w:r>
            <w:r w:rsidRPr="001B7F27">
              <w:rPr>
                <w:rFonts w:ascii="Arial" w:eastAsia="Times New Roman" w:hAnsi="Arial" w:cs="Arial"/>
                <w:color w:val="003399"/>
                <w:sz w:val="17"/>
                <w:szCs w:val="17"/>
                <w:lang w:eastAsia="es-AR"/>
              </w:rPr>
              <w:br/>
              <w:t>A. Sesiones ordinarias.</w:t>
            </w:r>
            <w:r w:rsidRPr="001B7F27">
              <w:rPr>
                <w:rFonts w:ascii="Arial" w:eastAsia="Times New Roman" w:hAnsi="Arial" w:cs="Arial"/>
                <w:color w:val="003399"/>
                <w:sz w:val="17"/>
                <w:szCs w:val="17"/>
                <w:lang w:eastAsia="es-AR"/>
              </w:rPr>
              <w:br/>
              <w:t>De acuerdo con este artículo, el período de sesiones ordinarias se extiende desde el primero de julio de cada año hasta el treinta de junio siguiente. El período de receso del Congreso corre desde el veintiuno de diciembre hasta el primero de marzo, de modo que divide a aquél en dos partes. Entre el final de un período de sesiones ordinarias y el inicio de uno nuevo, no media ningún tiempo.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Esta forma de distribuir la actividad parlamentaria no creemos que sea la más conveniente. En los ordenamientos constitucionales precedentes, el período de sesiones ordinarias -aunque en algunos casos haya sido bastante breve- coincidió siempre con el año calendario.</w:t>
            </w:r>
            <w:r w:rsidRPr="001B7F27">
              <w:rPr>
                <w:rFonts w:ascii="Arial" w:eastAsia="Times New Roman" w:hAnsi="Arial" w:cs="Arial"/>
                <w:color w:val="003399"/>
                <w:sz w:val="17"/>
                <w:szCs w:val="17"/>
                <w:lang w:eastAsia="es-AR"/>
              </w:rPr>
              <w:br/>
              <w:t>En realidad, en estas latitudes todas las actividades de duración anual se desarrollan de modo tal que coincidan con el año calendario.</w:t>
            </w:r>
            <w:r w:rsidRPr="001B7F27">
              <w:rPr>
                <w:rFonts w:ascii="Arial" w:eastAsia="Times New Roman" w:hAnsi="Arial" w:cs="Arial"/>
                <w:color w:val="003399"/>
                <w:sz w:val="17"/>
                <w:szCs w:val="17"/>
                <w:lang w:eastAsia="es-AR"/>
              </w:rPr>
              <w:br/>
              <w:t>El establecimiento de un período de sesiones ordinarias dividido en dos partes fue algo circunstancial. Por una parte no se deseaba cambiar la fecha de inicio del período presidencial (15 de agosto), pero se quería limitar el tiempo que mediara entre la elección del nuevo presidente y la finalización del período presidencial que estuviere en curso. Por ello se estableció que dicha elección debía realizarse con una antelación de entre noventa y ciento veinte días (Cf. Art. 230 Cn.).</w:t>
            </w:r>
            <w:r w:rsidRPr="001B7F27">
              <w:rPr>
                <w:rFonts w:ascii="Arial" w:eastAsia="Times New Roman" w:hAnsi="Arial" w:cs="Arial"/>
                <w:color w:val="003399"/>
                <w:sz w:val="17"/>
                <w:szCs w:val="17"/>
                <w:lang w:eastAsia="es-AR"/>
              </w:rPr>
              <w:br/>
              <w:t>Por otra parte, inicialmente se propuso que el período de sesiones ordinarias se extendiera entre el primero de marzo y el veinte de diciembre de cada año. Entonces, el período de receso parlamentario separaría un período de sesiones ordinarias de otro.</w:t>
            </w:r>
            <w:r w:rsidRPr="001B7F27">
              <w:rPr>
                <w:rFonts w:ascii="Arial" w:eastAsia="Times New Roman" w:hAnsi="Arial" w:cs="Arial"/>
                <w:color w:val="003399"/>
                <w:sz w:val="17"/>
                <w:szCs w:val="17"/>
                <w:lang w:eastAsia="es-AR"/>
              </w:rPr>
              <w:br/>
              <w:t>Coordinar todas estas ideas era imposible si además se pretendía que la elección del Presidente y el Vicepresidente se realizara simultáneamente con la de los congresistas. En efecto, el lapso de noventa a ciento veinte días antes del 15 de agosto, se extiende aproximadamente entre el 15 de abril y el 15 de mayo. Pero los congresistas ya debían asumir el 1º de marzo. Por ello se optó porque el período parlamentario se iniciara el 1º de julio.</w:t>
            </w:r>
            <w:r w:rsidRPr="001B7F27">
              <w:rPr>
                <w:rFonts w:ascii="Arial" w:eastAsia="Times New Roman" w:hAnsi="Arial" w:cs="Arial"/>
                <w:color w:val="003399"/>
                <w:sz w:val="17"/>
                <w:szCs w:val="17"/>
                <w:lang w:eastAsia="es-AR"/>
              </w:rPr>
              <w:br/>
              <w:t>No creemos que haya sido la solución más adecuada. Limitar el tiempo de coexistencia entre el presidente electo y el presidente saliente era muy importante, por lo que resultaba acertado postergar al máximo la elección del nuevo presidente. Era igualmente importante hacer coincidir la actividad parlamentaria con el año calendario y que el período de receso separara un período de sesiones ordinarias de otro. Asimismo era conveniente mantener la elección simultánea del Presidente y el Vicepresidente, y los congresistas. Pero en definitiva la forma de redactar el artículo quedó supeditada al deseo de no modificar la fecha de asunción presidencial. Prevaleció el criterio sentimental de no romper una tradición iniciada en 1912.</w:t>
            </w:r>
            <w:r w:rsidRPr="001B7F27">
              <w:rPr>
                <w:rFonts w:ascii="Arial" w:eastAsia="Times New Roman" w:hAnsi="Arial" w:cs="Arial"/>
                <w:color w:val="003399"/>
                <w:sz w:val="17"/>
                <w:szCs w:val="17"/>
                <w:lang w:eastAsia="es-AR"/>
              </w:rPr>
              <w:br/>
              <w:t>Pensamos que el período de sesiones ordinarias de las Cámaras debe abarcar del 1º de marzo al 20 de diciembre de cada año. De este modo, el período de receso, del 21 de diciembre al 28 de febrero, se intercala entre uno y otro período de sesiones ordinarias.</w:t>
            </w:r>
            <w:r w:rsidRPr="001B7F27">
              <w:rPr>
                <w:rFonts w:ascii="Arial" w:eastAsia="Times New Roman" w:hAnsi="Arial" w:cs="Arial"/>
                <w:color w:val="003399"/>
                <w:sz w:val="17"/>
                <w:szCs w:val="17"/>
                <w:lang w:eastAsia="es-AR"/>
              </w:rPr>
              <w:br/>
              <w:t>Para que esto sea posible se debe trasladar al 1º de marzo la fecha de inicio del período presidencial. No vemos mayores obstáculos para que, cada cinco años, tanto los nuevos integrantes del Congreso como el nuevo Presidente asuman sus funciones en la fecha citada. Se tendrán que realizar sesiones preparatorias para la elección de las autoridades de las Cámaras, y luego en la fecha indicada se instalará primeramente el Congreso y sus miembros prestarán el juramento de rigor. Posteriormente, el Presidente saliente rendirá su último informe, y el nuevo Presidente asumirá el cargo.</w:t>
            </w:r>
            <w:r w:rsidRPr="001B7F27">
              <w:rPr>
                <w:rFonts w:ascii="Arial" w:eastAsia="Times New Roman" w:hAnsi="Arial" w:cs="Arial"/>
                <w:color w:val="003399"/>
                <w:sz w:val="17"/>
                <w:szCs w:val="17"/>
                <w:lang w:eastAsia="es-AR"/>
              </w:rPr>
              <w:br/>
              <w:t>La previsión señalada admite también la elección simultánea de los congresistas y del Presidente y Vicepresidente, con una antelación de entre noventa y ciento veinte días, es decir, en el mes de noviembre del año anterior.</w:t>
            </w:r>
            <w:r w:rsidRPr="001B7F27">
              <w:rPr>
                <w:rFonts w:ascii="Arial" w:eastAsia="Times New Roman" w:hAnsi="Arial" w:cs="Arial"/>
                <w:color w:val="003399"/>
                <w:sz w:val="17"/>
                <w:szCs w:val="17"/>
                <w:lang w:eastAsia="es-AR"/>
              </w:rPr>
              <w:br/>
              <w:t>B. Sesiones extraordinarias.</w:t>
            </w:r>
            <w:r w:rsidRPr="001B7F27">
              <w:rPr>
                <w:rFonts w:ascii="Arial" w:eastAsia="Times New Roman" w:hAnsi="Arial" w:cs="Arial"/>
                <w:color w:val="003399"/>
                <w:sz w:val="17"/>
                <w:szCs w:val="17"/>
                <w:lang w:eastAsia="es-AR"/>
              </w:rPr>
              <w:br/>
              <w:t>Las sesiones extraordinarias son las que se celebran durante el período de receso del Congreso, es decir, entre el 21 de diciembre y el 28 de febrero. Las mismas pueden ser convocadas: a) por decisión de la cuarta parte de los miembros de cualquiera de las cámaras, esto es, doce senadores o veinte diputados; b) por resolución de dos tercios de los integrantes de la Comisión Permanente del Congreso, es decir, doce miembros; o c) por decreto del Poder Ejecutivo.</w:t>
            </w:r>
            <w:r w:rsidRPr="001B7F27">
              <w:rPr>
                <w:rFonts w:ascii="Arial" w:eastAsia="Times New Roman" w:hAnsi="Arial" w:cs="Arial"/>
                <w:color w:val="003399"/>
                <w:sz w:val="17"/>
                <w:szCs w:val="17"/>
                <w:lang w:eastAsia="es-AR"/>
              </w:rPr>
              <w:br/>
              <w:t>Resuelta la convocatoria a sesiones extraordinarias en la forma indicada precedentemente (en el Art. 184 Cn. se usan los vocablos 'decisión', 'resolución' y 'decreto'), el Presidente del Congreso o el de la Comisión Permanente deberán convocarlas en el término perentorio de cuarenta y ocho horas. No se trata, pues, de una cuestión que queda supeditada al criterio o parecer de las mencionadas autoridades.</w:t>
            </w:r>
            <w:r w:rsidRPr="001B7F27">
              <w:rPr>
                <w:rFonts w:ascii="Arial" w:eastAsia="Times New Roman" w:hAnsi="Arial" w:cs="Arial"/>
                <w:color w:val="003399"/>
                <w:sz w:val="17"/>
                <w:szCs w:val="17"/>
                <w:lang w:eastAsia="es-AR"/>
              </w:rPr>
              <w:br/>
              <w:t>A nuestro criterio, la decisión de la cuarta parte de los senadores o de los diputados, que en la práctica se materializa en una nota firmada por los mismos y presentada a la presidencia del Congreso o de la Comisión Permanente, puede ser adoptada en todo momento, es decir, tanto durante el período de sesiones ordinarias como durante el receso parlamentario. No puede sostenerse que durante el receso sólo corresponda a los integrantes de la Comisión Permanente adoptar una decisión sobre el particular. Esta interpretación implicaría limitar exclusivamente a los dieciocho integrantes de la citada comisión, la facultad de autoconvocatoria del Congreso, durante el período de receso de las cámaras. Por el contrario, significaría que los demás miembros del cuerpo legislativo sólo podrían hacer uso de su facultad de decidir la convocatoria a sesiones extraordinarias, durante el período de sesiones ordinarias, cuando quizá no pueda apreciarse o no exista la necesidad de la realización de aquellas.</w:t>
            </w:r>
            <w:r w:rsidRPr="001B7F27">
              <w:rPr>
                <w:rFonts w:ascii="Arial" w:eastAsia="Times New Roman" w:hAnsi="Arial" w:cs="Arial"/>
                <w:color w:val="003399"/>
                <w:sz w:val="17"/>
                <w:szCs w:val="17"/>
                <w:lang w:eastAsia="es-AR"/>
              </w:rPr>
              <w:br/>
              <w:t>El hecho de que la Constitución establezca que la convocatoria a sesiones extraordinarias también puede ser resuelta por dos tercios de los integrantes de la Comisión Permanente, obedece a que es la misma la que se encuentra en funciones formalmente y la que, dada una situación de urgencia, podría tomar conocimiento de los hechos más rápidamente y adoptar una decisión al respecto. Pero esto no debe entenderse en el sentido de que la facultad de decidir sobre la convocatoria a sesiones a extraordinarias, durante el receso parlamentario, quede reservada en exclusividad a los integrantes de la Comisión Permanente, en desmedro de los demás integrantes del Congreso.</w:t>
            </w:r>
            <w:r w:rsidRPr="001B7F27">
              <w:rPr>
                <w:rFonts w:ascii="Arial" w:eastAsia="Times New Roman" w:hAnsi="Arial" w:cs="Arial"/>
                <w:color w:val="003399"/>
                <w:sz w:val="17"/>
                <w:szCs w:val="17"/>
                <w:lang w:eastAsia="es-AR"/>
              </w:rPr>
              <w:br/>
              <w:t>En las sesiones extraordinarias se tratará un orden del día determinado y serán clausuradas una vez que éste haya sido agotado (Cf. Art. 184, in fine, Cn.). La limitación de las Cámaras en este aspecto aparece más clara aún cuando se dice: debiendo éstas tratar sólo aquellos asuntos sometidos a su respectiva consideración (Art. 238, inc. 11, Cn.).</w:t>
            </w:r>
            <w:r w:rsidRPr="001B7F27">
              <w:rPr>
                <w:rFonts w:ascii="Arial" w:eastAsia="Times New Roman" w:hAnsi="Arial" w:cs="Arial"/>
                <w:color w:val="003399"/>
                <w:sz w:val="17"/>
                <w:szCs w:val="17"/>
                <w:lang w:eastAsia="es-AR"/>
              </w:rPr>
              <w:br/>
              <w:t xml:space="preserve">De lo que acabamos de apuntar se deduce que las sesiones extraordinarias habrán de durar el tiempo que fuere </w:t>
            </w:r>
            <w:r w:rsidRPr="001B7F27">
              <w:rPr>
                <w:rFonts w:ascii="Arial" w:eastAsia="Times New Roman" w:hAnsi="Arial" w:cs="Arial"/>
                <w:color w:val="003399"/>
                <w:sz w:val="17"/>
                <w:szCs w:val="17"/>
                <w:lang w:eastAsia="es-AR"/>
              </w:rPr>
              <w:lastRenderedPageBreak/>
              <w:t>necesario para el tratamiento de las cuestiones que motivaron su convocatoria. Como existen varias posibilidades en cuanto a la forma de considerar los temas, en particular cuando se trata de proyectos de ley, la duración de las sesiones estará sujeta al curso por el cual se opte. En estas circunstancias es difícil predeterminar el tiempo de duración de las sesiones extraordinarias. En cuanto a ellas la Constitución exige, en primer lugar, un orden del día determinado, es decir, fijar de antemano los asuntos que habrán de ser tratados, y, en segundo lugar, no tratar ningún otro asunto, esto es, clausurar las sesiones una vez agotado el orden del día.</w:t>
            </w:r>
            <w:r w:rsidRPr="001B7F27">
              <w:rPr>
                <w:rFonts w:ascii="Arial" w:eastAsia="Times New Roman" w:hAnsi="Arial" w:cs="Arial"/>
                <w:color w:val="003399"/>
                <w:sz w:val="17"/>
                <w:szCs w:val="17"/>
                <w:lang w:eastAsia="es-AR"/>
              </w:rPr>
              <w:br/>
              <w:t>Por ello consideramos completamente desacertada la convocatoria del Congreso a sesiones extraordinarias por un lapso determinado, realizada por el Poder Ejecutivo a fines del 2001. En el decreto respectivo se dispone lo siguiente: “Convócase a sesiones extraordinarias al Honorable Congreso Nacional desde el 22 de diciembre de 2001 hasta el 28 de febrero de 2002, a los efectos de considerar los siguientes Proyectos de Leyes ...”.3 Independientemente de la extensión o complejidad de los mismos, que eran dos, no se podía conocer de antemano el tratamiento que se les daría y, por ende, tampoco era posible predeterminar el tiempo que las cámaras necesitarían para su estudio. De hecho, creemos que las cámaras no están obligadas a continuar sesionando si se agotó el estudio de los asuntos que motivaron la convocatoria y pueden clausurar las sesiones. En definitiva, el “pretender declarar, en fáctica y sui géneris “Sesión Permanente” al Congreso (sic) durante todo el receso parlamentario o a ambas cámaras como debía haber dicho, atenta contra el principio de independencia del Poder Legislativo y contra las prescripciones autonómicas propias de este poder, especialmente en lo funcional ... En términos más llanos, agravia las atribuciones propias y, en especial, la autonomía funcional del Poder Legislativo y su independencia ...”.4</w:t>
            </w:r>
            <w:r w:rsidRPr="001B7F27">
              <w:rPr>
                <w:rFonts w:ascii="Arial" w:eastAsia="Times New Roman" w:hAnsi="Arial" w:cs="Arial"/>
                <w:color w:val="003399"/>
                <w:sz w:val="17"/>
                <w:szCs w:val="17"/>
                <w:lang w:eastAsia="es-AR"/>
              </w:rPr>
              <w:br/>
              <w:t>La expresión: 'Las dos Cámaras se convocarán a sesiones extraordinarias', debe ser substituida por 'Las dos Cámaras serán convocadas ...', pues no sólo existe la posibilidad de la autoconvocatoria, sino también la de ser convocadas por decreto del Poder Ejecutivo.</w:t>
            </w:r>
            <w:r w:rsidRPr="001B7F27">
              <w:rPr>
                <w:rFonts w:ascii="Arial" w:eastAsia="Times New Roman" w:hAnsi="Arial" w:cs="Arial"/>
                <w:color w:val="003399"/>
                <w:sz w:val="17"/>
                <w:szCs w:val="17"/>
                <w:lang w:eastAsia="es-AR"/>
              </w:rPr>
              <w:br/>
              <w:t>De acuerdo con el Art. 184 Cn. parecería que la convocatoria a sesiones extraordinarias debiera involucrar necesariamente a ambas Cámaras. Sin embargo, el Art. 238 Cn., que se refiere a las atribuciones del Presidente de la República, menciona en su inciso 11, la de convocar a sesiones extraordinarias al Congreso, a cualquiera de las Cámaras o a ambas a la vez. Creemos, pues, que la convocatoria a sesiones extraordinarias puede ser de una cámara o de ambas a la vez.</w:t>
            </w:r>
            <w:r w:rsidRPr="001B7F27">
              <w:rPr>
                <w:rFonts w:ascii="Arial" w:eastAsia="Times New Roman" w:hAnsi="Arial" w:cs="Arial"/>
                <w:color w:val="003399"/>
                <w:sz w:val="17"/>
                <w:szCs w:val="17"/>
                <w:lang w:eastAsia="es-AR"/>
              </w:rPr>
              <w:br/>
              <w:t>En el Derecho Constitucional comparado está ampliamente consagrado el derecho de las cámaras legislativas a autoconvocarse a sesiones extraordinarias, sin perjuicio de que también el Poder Ejecutivo pueda convocarlas. El Congreso, como poder autónomo, debe tener la posibilidad de reunirse por propia voluntad en cualquier época del año, independientemente de que, por razones de diversa índole, se distinga en la actividad parlamentaria un período de sesiones ordinarias y otro de receso. De ningún modo puede admitirse que el Poder Legislativo quede subordinado a la voluntad exclusiva del Poder Ejecutivo durante el período de receso.</w:t>
            </w:r>
            <w:r w:rsidRPr="001B7F27">
              <w:rPr>
                <w:rFonts w:ascii="Arial" w:eastAsia="Times New Roman" w:hAnsi="Arial" w:cs="Arial"/>
                <w:color w:val="003399"/>
                <w:sz w:val="17"/>
                <w:szCs w:val="17"/>
                <w:lang w:eastAsia="es-AR"/>
              </w:rPr>
              <w:br/>
              <w:t>La celebración de sesiones extraordinarias obedece, por lo general, a la existencia de asuntos que necesitan la aprobación legislativa y cuya consideración no puede ser pospuesta, dadas la urgencia, la gravedad o la importancia de los mismos. Ahora bien, no sólo el Poder Ejecutivo puede tener asuntos urgentes, graves o importantes que someter a la aprobación de las cámaras; o percatarse de la existencia de situaciones de igual carácter que hagan necesaria la convocatoria del Congreso; sino también este mismo órgano puede encontrarse en igual situación. Esto justifica plenamente que se le reconozca la facultad de autoconvocarse a sesiones extraordinarias.</w:t>
            </w:r>
            <w:r w:rsidRPr="001B7F27">
              <w:rPr>
                <w:rFonts w:ascii="Arial" w:eastAsia="Times New Roman" w:hAnsi="Arial" w:cs="Arial"/>
                <w:color w:val="003399"/>
                <w:sz w:val="17"/>
                <w:szCs w:val="17"/>
                <w:lang w:eastAsia="es-AR"/>
              </w:rPr>
              <w:br/>
              <w:t>De acuerdo con la Constitución de 1967, sólo el Poder Ejecutivo podía convocar al Congreso a sesiones extraordinarias (o prorrogar sus sesiones ordinarias), (Art. 138).</w:t>
            </w:r>
            <w:r w:rsidRPr="001B7F27">
              <w:rPr>
                <w:rFonts w:ascii="Arial" w:eastAsia="Times New Roman" w:hAnsi="Arial" w:cs="Arial"/>
                <w:color w:val="003399"/>
                <w:sz w:val="17"/>
                <w:szCs w:val="17"/>
                <w:lang w:eastAsia="es-AR"/>
              </w:rPr>
              <w:br/>
              <w:t>La Constitución de 1940 también reservaba en exclusividad al Presidente de la República ambas facultades (Art. 51, inc. 9). La situación era aún más delicada, pues el período de receso parlamentario duraba siete meses.</w:t>
            </w:r>
            <w:r w:rsidRPr="001B7F27">
              <w:rPr>
                <w:rFonts w:ascii="Arial" w:eastAsia="Times New Roman" w:hAnsi="Arial" w:cs="Arial"/>
                <w:color w:val="003399"/>
                <w:sz w:val="17"/>
                <w:szCs w:val="17"/>
                <w:lang w:eastAsia="es-AR"/>
              </w:rPr>
              <w:br/>
              <w:t xml:space="preserve">Según la ley fundamental de 1870, el Presidente podía convocar a las cámaras a sesiones extraordinarias (o prorrogar sus sesiones ordinarias), pero también las propias cámaras podían hacerlo a pedido de cuatro diputados y dos senadores (Arts. 59 y 102, inc. 10).5 </w:t>
            </w:r>
            <w:r w:rsidRPr="001B7F27">
              <w:rPr>
                <w:rFonts w:ascii="Arial" w:eastAsia="Times New Roman" w:hAnsi="Arial" w:cs="Arial"/>
                <w:color w:val="003399"/>
                <w:sz w:val="17"/>
                <w:szCs w:val="17"/>
                <w:lang w:eastAsia="es-AR"/>
              </w:rPr>
              <w:br/>
              <w:t>C. Prórroga de las sesiones ordinarias.</w:t>
            </w:r>
            <w:r w:rsidRPr="001B7F27">
              <w:rPr>
                <w:rFonts w:ascii="Arial" w:eastAsia="Times New Roman" w:hAnsi="Arial" w:cs="Arial"/>
                <w:color w:val="003399"/>
                <w:sz w:val="17"/>
                <w:szCs w:val="17"/>
                <w:lang w:eastAsia="es-AR"/>
              </w:rPr>
              <w:br/>
              <w:t>La prórroga de las sesiones ordinarias se da cuando las Cámaras, sin solución de continuidad, siguen sesionando con posterioridad al 20 de diciembre.</w:t>
            </w:r>
            <w:r w:rsidRPr="001B7F27">
              <w:rPr>
                <w:rFonts w:ascii="Arial" w:eastAsia="Times New Roman" w:hAnsi="Arial" w:cs="Arial"/>
                <w:color w:val="003399"/>
                <w:sz w:val="17"/>
                <w:szCs w:val="17"/>
                <w:lang w:eastAsia="es-AR"/>
              </w:rPr>
              <w:br/>
              <w:t>La prórroga puede darse: a) por decisión de la cuarta parte de los miembros de cualquiera de las cámaras, esto es, doce senadores o veinte diputados; o b) por decreto del Poder Ejecutivo. La posibilidad de que la prórroga sea resuelta por los dos tercios de los integrantes de la Comisión Permanente del Congreso, no cabe, ya que la decisión debe ser adoptada cuando dicha comisión aún no está en funcionamiento.</w:t>
            </w:r>
            <w:r w:rsidRPr="001B7F27">
              <w:rPr>
                <w:rFonts w:ascii="Arial" w:eastAsia="Times New Roman" w:hAnsi="Arial" w:cs="Arial"/>
                <w:color w:val="003399"/>
                <w:sz w:val="17"/>
                <w:szCs w:val="17"/>
                <w:lang w:eastAsia="es-AR"/>
              </w:rPr>
              <w:br/>
              <w:t>Se debe eliminar la innecesaria repetición en cuanto a la prórroga de sesiones, que contiene el artículo 184 ('Las dos Cámaras ... prorrogarán sus sesiones ...' y 'Las prórrogas de sesiones serán efectuadas del mismo modo').</w:t>
            </w:r>
            <w:r w:rsidRPr="001B7F27">
              <w:rPr>
                <w:rFonts w:ascii="Arial" w:eastAsia="Times New Roman" w:hAnsi="Arial" w:cs="Arial"/>
                <w:color w:val="003399"/>
                <w:sz w:val="17"/>
                <w:szCs w:val="17"/>
                <w:lang w:eastAsia="es-AR"/>
              </w:rPr>
              <w:br/>
              <w:t xml:space="preserve">La prórroga de las sesiones ordinarias es una medida que puede ser adoptada cuando al término de éstas quedaren asuntos pendientes, es decir, asuntos que por falta de tiempo no pudieron ser tratados dentro del período ordinario; o cuando surgieren asuntos urgentes e imprevistos que deban ser considerados. Es evidente, dadas las circunstancias, que el que mejor conoce la necesidad y la conveniencia de prorrogar las sesiones ordinarias es el propio Congreso. En consecuencia, es lógico que esté investido de esta facultad, sin perjuicio de que también le corresponda al Poder Ejecutivo. </w:t>
            </w:r>
            <w:r w:rsidRPr="001B7F27">
              <w:rPr>
                <w:rFonts w:ascii="Arial" w:eastAsia="Times New Roman" w:hAnsi="Arial" w:cs="Arial"/>
                <w:color w:val="003399"/>
                <w:sz w:val="17"/>
                <w:szCs w:val="17"/>
                <w:lang w:eastAsia="es-AR"/>
              </w:rPr>
              <w:br/>
              <w:t>D. Sesiones conjuntas.</w:t>
            </w:r>
            <w:r w:rsidRPr="001B7F27">
              <w:rPr>
                <w:rFonts w:ascii="Arial" w:eastAsia="Times New Roman" w:hAnsi="Arial" w:cs="Arial"/>
                <w:color w:val="003399"/>
                <w:sz w:val="17"/>
                <w:szCs w:val="17"/>
                <w:lang w:eastAsia="es-AR"/>
              </w:rPr>
              <w:br/>
              <w:t>'Las Cámaras sesionarán conjuntamente en los casos previstos en esta Constitución o en el Reglamento del Congreso, donde se establecerán las formalidades necesarias' (Art. 185, 1er. pfo., Cn.).6</w:t>
            </w:r>
            <w:r w:rsidRPr="001B7F27">
              <w:rPr>
                <w:rFonts w:ascii="Arial" w:eastAsia="Times New Roman" w:hAnsi="Arial" w:cs="Arial"/>
                <w:color w:val="003399"/>
                <w:sz w:val="17"/>
                <w:szCs w:val="17"/>
                <w:lang w:eastAsia="es-AR"/>
              </w:rPr>
              <w:br/>
              <w:t xml:space="preserve">El primer problema que planta esta disposición es la duda acerca de si existe diferencia entre las 'sesiones conjuntas' ('las Cámaras sesionarán conjuntamente ...') y 'la reunión en Congreso' ('ambas Cámaras, reunidas en </w:t>
            </w:r>
            <w:r w:rsidRPr="001B7F27">
              <w:rPr>
                <w:rFonts w:ascii="Arial" w:eastAsia="Times New Roman" w:hAnsi="Arial" w:cs="Arial"/>
                <w:color w:val="003399"/>
                <w:sz w:val="17"/>
                <w:szCs w:val="17"/>
                <w:lang w:eastAsia="es-AR"/>
              </w:rPr>
              <w:lastRenderedPageBreak/>
              <w:t>Congreso') de que habla el Art. 183 Cn.</w:t>
            </w:r>
            <w:r w:rsidRPr="001B7F27">
              <w:rPr>
                <w:rFonts w:ascii="Arial" w:eastAsia="Times New Roman" w:hAnsi="Arial" w:cs="Arial"/>
                <w:color w:val="003399"/>
                <w:sz w:val="17"/>
                <w:szCs w:val="17"/>
                <w:lang w:eastAsia="es-AR"/>
              </w:rPr>
              <w:br/>
              <w:t>En nuestra opinión no puede hacerse ninguna distinción en este punto. En el artículo 138 del proyecto de la ANR, que sirvió de base al artículo 183 de la Constitución, se habla de 'ambas Cámaras, conjuntamente reunidas'; y el artículo 140 del mismo proyecto, fuente directa del artículo 185 de la Constitución, dice 'las Cámaras pueden sesionar conjuntamente ...'. Pero el error técnico de designar una misma cosa con dos expresiones distintas, ya ha dado lugar a discusiones al respecto.</w:t>
            </w:r>
            <w:r w:rsidRPr="001B7F27">
              <w:rPr>
                <w:rFonts w:ascii="Arial" w:eastAsia="Times New Roman" w:hAnsi="Arial" w:cs="Arial"/>
                <w:color w:val="003399"/>
                <w:sz w:val="17"/>
                <w:szCs w:val="17"/>
                <w:lang w:eastAsia="es-AR"/>
              </w:rPr>
              <w:br/>
              <w:t>Refuerza también el criterio de identificar reuniones en Congreso y sesiones conjuntas, el párrafo del Art. 185 Cn. que dice: Las disposiciones previstas en este artículo se aplicarán también a las sesiones de ambas Cámaras reunidas en Congreso. Se hace referencia aquí a lo dispuesto en cuanto a quórum y mayorías.</w:t>
            </w:r>
            <w:r w:rsidRPr="001B7F27">
              <w:rPr>
                <w:rFonts w:ascii="Arial" w:eastAsia="Times New Roman" w:hAnsi="Arial" w:cs="Arial"/>
                <w:color w:val="003399"/>
                <w:sz w:val="17"/>
                <w:szCs w:val="17"/>
                <w:lang w:eastAsia="es-AR"/>
              </w:rPr>
              <w:br/>
              <w:t>Debemos hacer notar que el Art. 183 Cn. limita los deberes y las atribuciones de 'ambas Cámaras, reunidas en Congreso' a los que fije la Constitución (Cf. inc. 5); en cambio, el Art. 185 Cn. establece que 'las cámaras sesionarán conjuntamente' no sólo 'en los casos previstos en esta Constitución', sino también en los previstos 'en el Reglamento del Congreso'. Suponemos que en ambos casos las sesiones tendrán por objeto el ejercicio de alguna atribución.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 Quórum y mayorías.</w:t>
            </w:r>
            <w:r w:rsidRPr="001B7F27">
              <w:rPr>
                <w:rFonts w:ascii="Arial" w:eastAsia="Times New Roman" w:hAnsi="Arial" w:cs="Arial"/>
                <w:color w:val="003399"/>
                <w:sz w:val="17"/>
                <w:szCs w:val="17"/>
                <w:lang w:eastAsia="es-AR"/>
              </w:rPr>
              <w:br/>
              <w:t>Sobre este tema, la Constitución contiene las siguientes disposiciones: 'El quórum legal se formará con la mitad más uno del total de cada Cámara. Salvo los casos en que esta Constitución establece mayorías calificadas, las decisiones se tomarán por simple mayoría de votos de los miembros presentes.</w:t>
            </w:r>
            <w:r w:rsidRPr="001B7F27">
              <w:rPr>
                <w:rFonts w:ascii="Arial" w:eastAsia="Times New Roman" w:hAnsi="Arial" w:cs="Arial"/>
                <w:color w:val="003399"/>
                <w:sz w:val="17"/>
                <w:szCs w:val="17"/>
                <w:lang w:eastAsia="es-AR"/>
              </w:rPr>
              <w:br/>
              <w:t xml:space="preserve">Para las votaciones de las Cámaras del Congreso se entenderá por simple mayoría la mitad más uno de los miembros presentes; por mayoría de dos tercios, las dos terceras partes de los miembros presentes; por mayoría absoluta, el quórum legal, y por mayoría absoluta de dos tercios, las dos terceras partes del número total de miembros de cada Cámara. </w:t>
            </w:r>
            <w:r w:rsidRPr="001B7F27">
              <w:rPr>
                <w:rFonts w:ascii="Arial" w:eastAsia="Times New Roman" w:hAnsi="Arial" w:cs="Arial"/>
                <w:color w:val="003399"/>
                <w:sz w:val="17"/>
                <w:szCs w:val="17"/>
                <w:lang w:eastAsia="es-AR"/>
              </w:rPr>
              <w:br/>
              <w:t>Las disposiciones previstas en este artículo se aplicarán también a las sesiones de ambas Cámaras reunidas en Congreso.</w:t>
            </w:r>
            <w:r w:rsidRPr="001B7F27">
              <w:rPr>
                <w:rFonts w:ascii="Arial" w:eastAsia="Times New Roman" w:hAnsi="Arial" w:cs="Arial"/>
                <w:color w:val="003399"/>
                <w:sz w:val="17"/>
                <w:szCs w:val="17"/>
                <w:lang w:eastAsia="es-AR"/>
              </w:rPr>
              <w:br/>
              <w:t>El mismo régimen de quórum y mayorías se aplicará a cualquier órgano colegiado electivo previsto por esta Constitución' (Art. 185, 2°, 3°, 4° y 5° pfos., CN).</w:t>
            </w:r>
            <w:r w:rsidRPr="001B7F27">
              <w:rPr>
                <w:rFonts w:ascii="Arial" w:eastAsia="Times New Roman" w:hAnsi="Arial" w:cs="Arial"/>
                <w:color w:val="003399"/>
                <w:sz w:val="17"/>
                <w:szCs w:val="17"/>
                <w:lang w:eastAsia="es-AR"/>
              </w:rPr>
              <w:br/>
              <w:t>'Ninguna de las Cámaras podrá sesionar, deliberar o adoptar decisiones sin la presencia de la mayoría absoluta. Un número menor podrá, sin embargo, compeler a los miembros ausentes a concurrir a las sesiones en los términos que establezca cada Cámara' (Art. 188, 2° pfo., Cn.).7</w:t>
            </w:r>
            <w:r w:rsidRPr="001B7F27">
              <w:rPr>
                <w:rFonts w:ascii="Arial" w:eastAsia="Times New Roman" w:hAnsi="Arial" w:cs="Arial"/>
                <w:color w:val="003399"/>
                <w:sz w:val="17"/>
                <w:szCs w:val="17"/>
                <w:lang w:eastAsia="es-AR"/>
              </w:rPr>
              <w:br/>
              <w:t>En las disposiciones que estamos estudiando, debemos distinguir los siguientes conceptos:</w:t>
            </w:r>
            <w:r w:rsidRPr="001B7F27">
              <w:rPr>
                <w:rFonts w:ascii="Arial" w:eastAsia="Times New Roman" w:hAnsi="Arial" w:cs="Arial"/>
                <w:color w:val="003399"/>
                <w:sz w:val="17"/>
                <w:szCs w:val="17"/>
                <w:lang w:eastAsia="es-AR"/>
              </w:rPr>
              <w:br/>
              <w:t xml:space="preserve">a) Quórum legal. 'Quórum significa el número de miembros que se necesita para que un órgano colegiado pueda constituirse, funcionar y adoptar decisiones'.8 </w:t>
            </w:r>
            <w:r w:rsidRPr="001B7F27">
              <w:rPr>
                <w:rFonts w:ascii="Arial" w:eastAsia="Times New Roman" w:hAnsi="Arial" w:cs="Arial"/>
                <w:color w:val="003399"/>
                <w:sz w:val="17"/>
                <w:szCs w:val="17"/>
                <w:lang w:eastAsia="es-AR"/>
              </w:rPr>
              <w:br/>
              <w:t>En el artículo 188 Cn. se afirma que 'ninguna de las Cámaras podrá sesionar, deliberar o adoptar decisiones sin la presencia de la mayoría absoluta'. El artículo 185 Cn. establece que 'por mayoría absoluta (se entenderá) el quórum legal'. Esto significa que ambos conceptos son equivalentes. Vemos, pues, que el tema del quórum está tratado en los dos artículos mencionados.</w:t>
            </w:r>
            <w:r w:rsidRPr="001B7F27">
              <w:rPr>
                <w:rFonts w:ascii="Arial" w:eastAsia="Times New Roman" w:hAnsi="Arial" w:cs="Arial"/>
                <w:color w:val="003399"/>
                <w:sz w:val="17"/>
                <w:szCs w:val="17"/>
                <w:lang w:eastAsia="es-AR"/>
              </w:rPr>
              <w:br/>
              <w:t>Este desdoblamiento tiene su origen en la Constitución de 1967 que, además de la disposición (Art. 140) proveniente de la Constitución de 1870, incluyó otra (Art. 147) en que se hacía referencia a los distintos tipos de mayorías y también al quórum. A través del proyecto de Constitución del PLRA (artículos 143 y 152), el error llegó a la Constitución vigente.</w:t>
            </w:r>
            <w:r w:rsidRPr="001B7F27">
              <w:rPr>
                <w:rFonts w:ascii="Arial" w:eastAsia="Times New Roman" w:hAnsi="Arial" w:cs="Arial"/>
                <w:color w:val="003399"/>
                <w:sz w:val="17"/>
                <w:szCs w:val="17"/>
                <w:lang w:eastAsia="es-AR"/>
              </w:rPr>
              <w:br/>
              <w:t>El quórum se forma con la mitad más uno del total de miembros de cada cámara. En la Cámara de Senadores se requiere la presencia de 24 miembros, cuando menos, y en la Cámara de Diputados, la de 41 miembros, cuando menos.</w:t>
            </w:r>
            <w:r w:rsidRPr="001B7F27">
              <w:rPr>
                <w:rFonts w:ascii="Arial" w:eastAsia="Times New Roman" w:hAnsi="Arial" w:cs="Arial"/>
                <w:color w:val="003399"/>
                <w:sz w:val="17"/>
                <w:szCs w:val="17"/>
                <w:lang w:eastAsia="es-AR"/>
              </w:rPr>
              <w:br/>
              <w:t>Cabe apuntar que, antes que establecer que el quórum 'se formará con la mitad más uno del total de cada Cámara', hubiera sido preferible decir que 'se formará con más de la mitad del total de miembros de cada Cámara'. No se trata de un juego de palabras, y utilizar una u otra fórmula tiene relevancia cuando se trata de cuerpos colegiados cuyo número de integrantes es impar. Por ejemplo, la Cámara de Senadores tiene 45 miembros. La mitad es 22,5; más 1, da 23,5, es decir 24, que es el número mínimo de senadores que se requiere para que haya quórum. Si se empleara la segunda fórmula el quórum se formaría a partir de 23 presentes.</w:t>
            </w:r>
            <w:r w:rsidRPr="001B7F27">
              <w:rPr>
                <w:rFonts w:ascii="Arial" w:eastAsia="Times New Roman" w:hAnsi="Arial" w:cs="Arial"/>
                <w:color w:val="003399"/>
                <w:sz w:val="17"/>
                <w:szCs w:val="17"/>
                <w:lang w:eastAsia="es-AR"/>
              </w:rPr>
              <w:br/>
              <w:t>Al respecto, Bidart Campos afirma: 'Mayoría absoluta no es, como vulgarmente se sostiene, la mitad más uno, sino «más de la mitad» de los miembros, que es cosa distinta, porque si suponemos 187 legisladores, más de la mitad son 94, mientras que la mitad más uno son 95'.9</w:t>
            </w:r>
            <w:r w:rsidRPr="001B7F27">
              <w:rPr>
                <w:rFonts w:ascii="Arial" w:eastAsia="Times New Roman" w:hAnsi="Arial" w:cs="Arial"/>
                <w:color w:val="003399"/>
                <w:sz w:val="17"/>
                <w:szCs w:val="17"/>
                <w:lang w:eastAsia="es-AR"/>
              </w:rPr>
              <w:br/>
              <w:t>Si una cámara no forma quórum, no puede sesionar, ni deliberar, y, lógicamente, tampoco puede adoptar decisiones. Pero la minoría de presentes puede “compeler a los miembros ausentes a concurrir a las sesiones en los términos que establezca cada Cámara” (Art. 188, in fine, Cn.). En los respectivos reglamentos internos se autoriza a dicha minoría a acordar los medios para compeler a los ausentes.10</w:t>
            </w:r>
            <w:r w:rsidRPr="001B7F27">
              <w:rPr>
                <w:rFonts w:ascii="Arial" w:eastAsia="Times New Roman" w:hAnsi="Arial" w:cs="Arial"/>
                <w:color w:val="003399"/>
                <w:sz w:val="17"/>
                <w:szCs w:val="17"/>
                <w:lang w:eastAsia="es-AR"/>
              </w:rPr>
              <w:br/>
              <w:t>b) Mayoría simple o simple mayoría. Se forma con el voto en idéntico sentido, de la mitad más uno de los miembros presentes.11</w:t>
            </w:r>
            <w:r w:rsidRPr="001B7F27">
              <w:rPr>
                <w:rFonts w:ascii="Arial" w:eastAsia="Times New Roman" w:hAnsi="Arial" w:cs="Arial"/>
                <w:color w:val="003399"/>
                <w:sz w:val="17"/>
                <w:szCs w:val="17"/>
                <w:lang w:eastAsia="es-AR"/>
              </w:rPr>
              <w:br/>
              <w:t>En la Cámara de Senadores, con el número mínimo de 24 miembros presentes requerido para que exista quórum, la simple mayoría se da a partir de 13 votos. En el otro extremo, es decir, si están presentes los 45 miembros de la Cámara, se da a partir de 24 votos.</w:t>
            </w:r>
            <w:r w:rsidRPr="001B7F27">
              <w:rPr>
                <w:rFonts w:ascii="Arial" w:eastAsia="Times New Roman" w:hAnsi="Arial" w:cs="Arial"/>
                <w:color w:val="003399"/>
                <w:sz w:val="17"/>
                <w:szCs w:val="17"/>
                <w:lang w:eastAsia="es-AR"/>
              </w:rPr>
              <w:br/>
              <w:t>En la Cámara de Diputados, con el número mínimo de 41 miembros presentes requerido para que exista quórum, la simple mayoría se da a partir de 22 votos. En el otro extremo, es decir, si están presentes los 80 miembros de la Cámara, se da a partir de 41 votos.</w:t>
            </w:r>
            <w:r w:rsidRPr="001B7F27">
              <w:rPr>
                <w:rFonts w:ascii="Arial" w:eastAsia="Times New Roman" w:hAnsi="Arial" w:cs="Arial"/>
                <w:color w:val="003399"/>
                <w:sz w:val="17"/>
                <w:szCs w:val="17"/>
                <w:lang w:eastAsia="es-AR"/>
              </w:rPr>
              <w:br/>
              <w:t>El artículo 185 Cn. dispone que, 'salvo los casos en que esta Constitución establece mayorías calificadas, las decisiones se tomarán por simple mayoría de votos de los miembros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La intención era establecer como regla general que las cámaras adoptan sus decisiones por simple mayoría de votos y la exigencia de una mayoría calificada constituye una excepción que para ser admitida debe estar expresamente prevista en la Constitución o en la ley.</w:t>
            </w:r>
            <w:r w:rsidRPr="001B7F27">
              <w:rPr>
                <w:rFonts w:ascii="Arial" w:eastAsia="Times New Roman" w:hAnsi="Arial" w:cs="Arial"/>
                <w:color w:val="003399"/>
                <w:sz w:val="17"/>
                <w:szCs w:val="17"/>
                <w:lang w:eastAsia="es-AR"/>
              </w:rPr>
              <w:br/>
              <w:t>Lo que se busca evitar con esta disposición es que, sobre la base de meras interpretaciones u otros procedimientos, se exijan mayorías calificadas para la resolución de determinados asuntos, cuando dicho requisito no consta en forma expresa.</w:t>
            </w:r>
            <w:r w:rsidRPr="001B7F27">
              <w:rPr>
                <w:rFonts w:ascii="Arial" w:eastAsia="Times New Roman" w:hAnsi="Arial" w:cs="Arial"/>
                <w:color w:val="003399"/>
                <w:sz w:val="17"/>
                <w:szCs w:val="17"/>
                <w:lang w:eastAsia="es-AR"/>
              </w:rPr>
              <w:br/>
              <w:t>Pero del texto constitucional resulta que sólo se pueden exigir mayorías calificadas en los casos en que la propia Ley Suprema las ha establecido. En rigor, el Congreso no puede establecer por medio de una ley otros casos más en que aquéllas sean requeridas.</w:t>
            </w:r>
            <w:r w:rsidRPr="001B7F27">
              <w:rPr>
                <w:rFonts w:ascii="Arial" w:eastAsia="Times New Roman" w:hAnsi="Arial" w:cs="Arial"/>
                <w:color w:val="003399"/>
                <w:sz w:val="17"/>
                <w:szCs w:val="17"/>
                <w:lang w:eastAsia="es-AR"/>
              </w:rPr>
              <w:br/>
              <w:t>Esta redacción figura en el proyecto de Constitución del Partido Colorado (Art. 140), que fue tomado como proyecto base. A su vez, dicho texto proviene del Proyecto Paciello (Art. 131). Cabe mencionar que también otras constituciones limitan a lo dispuesto en su propio texto, la posibilidad de establecer mayorías calificadas (Cf. Brasil, Art. 47; Costa Rica, Art. 119; Alemania, Art. 42.2).</w:t>
            </w:r>
            <w:r w:rsidRPr="001B7F27">
              <w:rPr>
                <w:rFonts w:ascii="Arial" w:eastAsia="Times New Roman" w:hAnsi="Arial" w:cs="Arial"/>
                <w:color w:val="003399"/>
                <w:sz w:val="17"/>
                <w:szCs w:val="17"/>
                <w:lang w:eastAsia="es-AR"/>
              </w:rPr>
              <w:br/>
              <w:t>En los proyectos de Constitución del Partido Liberal Radical Auténtico (Art. 152), de Constitución Para Todos (Art. 108) y del CIDSEP (Art. 163), se consigna una fórmula más amplia: 'Cuando la mayoría no está calificada, se entiende que se trata de mayoría simple'. Es ésta también la redacción de la Constitución de 1967 (Art. 147, in fine).</w:t>
            </w:r>
            <w:r w:rsidRPr="001B7F27">
              <w:rPr>
                <w:rFonts w:ascii="Arial" w:eastAsia="Times New Roman" w:hAnsi="Arial" w:cs="Arial"/>
                <w:color w:val="003399"/>
                <w:sz w:val="17"/>
                <w:szCs w:val="17"/>
                <w:lang w:eastAsia="es-AR"/>
              </w:rPr>
              <w:br/>
              <w:t>c) Mayoría de dos tercios. Es una de las mayorías calificadas. Se forma con el voto de las dos terceras partes de los miembros presentes. En la Cámara de Senadores esta mayoría puede oscilar entre 16 y 30 votos, como mínimo, según varíe la cantidad de presentes entre 24 y 45. En la Cámara de Diputados puede oscilar entre 28 y 54 votos, como mínimo, correlativamente a la variación del número de presentes entre 41 y 80.12</w:t>
            </w:r>
            <w:r w:rsidRPr="001B7F27">
              <w:rPr>
                <w:rFonts w:ascii="Arial" w:eastAsia="Times New Roman" w:hAnsi="Arial" w:cs="Arial"/>
                <w:color w:val="003399"/>
                <w:sz w:val="17"/>
                <w:szCs w:val="17"/>
                <w:lang w:eastAsia="es-AR"/>
              </w:rPr>
              <w:br/>
              <w:t>Se exige mayoría de dos tercios de la Cámara de Senadores o de la Cámara de Diputados: i. para decidir si corresponde o no el desafuero de un senador o de un diputado (artículo 191 Cn.); ii. para dejar sin efecto el tratamiento de urgencia de proyectos de ley enviados por el Poder Ejecutivo, o para decidir darle dicho tratamiento a otros proyectos cuando superen el número de tres a que tiene derecho el Poder Ejecutivo (artículo 210 Cn.).</w:t>
            </w:r>
            <w:r w:rsidRPr="001B7F27">
              <w:rPr>
                <w:rFonts w:ascii="Arial" w:eastAsia="Times New Roman" w:hAnsi="Arial" w:cs="Arial"/>
                <w:color w:val="003399"/>
                <w:sz w:val="17"/>
                <w:szCs w:val="17"/>
                <w:lang w:eastAsia="es-AR"/>
              </w:rPr>
              <w:br/>
              <w:t>Asimismo, se exige mayoría de dos tercios de la Cámara de Diputados: i. para formular acusación en el juicio político contra quienes pueden ser sometidos a él (artículo 225 Cn.); ii. para el nombramiento del Defensor del Pueblo, de la terna propuesta por el Senado (artículo 277 Cn.).</w:t>
            </w:r>
            <w:r w:rsidRPr="001B7F27">
              <w:rPr>
                <w:rFonts w:ascii="Arial" w:eastAsia="Times New Roman" w:hAnsi="Arial" w:cs="Arial"/>
                <w:color w:val="003399"/>
                <w:sz w:val="17"/>
                <w:szCs w:val="17"/>
                <w:lang w:eastAsia="es-AR"/>
              </w:rPr>
              <w:br/>
              <w:t>d) Mayoría absoluta. Es otra de las mayorías calificadas. Es equivalente al quórum legal. Es decir, en la Cámara de Senadores se requiere el voto conteste de 24 miembros, como mínimo, y en la Cámara de Diputados, el de 41 miembros, como mínimo.</w:t>
            </w:r>
            <w:r w:rsidRPr="001B7F27">
              <w:rPr>
                <w:rFonts w:ascii="Arial" w:eastAsia="Times New Roman" w:hAnsi="Arial" w:cs="Arial"/>
                <w:color w:val="003399"/>
                <w:sz w:val="17"/>
                <w:szCs w:val="17"/>
                <w:lang w:eastAsia="es-AR"/>
              </w:rPr>
              <w:br/>
              <w:t>Se exige mayoría absoluta de cada cámara para admitir un orden jurídico supranacional en los casos previstos en el Art. 145 Cn.</w:t>
            </w:r>
            <w:r w:rsidRPr="001B7F27">
              <w:rPr>
                <w:rFonts w:ascii="Arial" w:eastAsia="Times New Roman" w:hAnsi="Arial" w:cs="Arial"/>
                <w:color w:val="003399"/>
                <w:sz w:val="17"/>
                <w:szCs w:val="17"/>
                <w:lang w:eastAsia="es-AR"/>
              </w:rPr>
              <w:br/>
              <w:t>También se exige mayoría absoluta de votos de la Cámara de Diputados para la destitución de gobernadores, intendentes, juntas departamentales o juntas municipales, por grave irregularidad en la ejecución del presupuesto o en la administración de sus bienes, previo dictamen de la Contraloría General de la República (Art. 165 Cn.).</w:t>
            </w:r>
            <w:r w:rsidRPr="001B7F27">
              <w:rPr>
                <w:rFonts w:ascii="Arial" w:eastAsia="Times New Roman" w:hAnsi="Arial" w:cs="Arial"/>
                <w:color w:val="003399"/>
                <w:sz w:val="17"/>
                <w:szCs w:val="17"/>
                <w:lang w:eastAsia="es-AR"/>
              </w:rPr>
              <w:br/>
              <w:t>Igualmente se exige mayoría absoluta de la Cámara de Senadores o de la Cámara de Diputados, para citar e interpelar a los ministros del Poder Ejecutivo y a otros funcionarios de la Administración Pública (Art. 193 Cn.).</w:t>
            </w:r>
            <w:r w:rsidRPr="001B7F27">
              <w:rPr>
                <w:rFonts w:ascii="Arial" w:eastAsia="Times New Roman" w:hAnsi="Arial" w:cs="Arial"/>
                <w:color w:val="003399"/>
                <w:sz w:val="17"/>
                <w:szCs w:val="17"/>
                <w:lang w:eastAsia="es-AR"/>
              </w:rPr>
              <w:br/>
              <w:t>En el proceso de formación y sanción de las leyes, se exige mayoría absoluta: i. de la cámara de origen para ratificarse en la aprobación de un proyecto de ley rechazado totalmente por la cámara revisora (Art. 206 Cn.); ii. de la cámara de origen para rechazar las modificaciones parciales introducidas por la cámara revisora, y de ésta para ratificarse en su sanción anterior (Art. 207 Cn.); iii. de cada cámara para el rechazo de la objeción parcial del Poder Ejecutivo y la confirmación de la sanción primitiva (Art. 208 Cn.); iiii. de cada cámara para el rechazo de la objeción total del Poder Ejecutivo y la confirmación de la sanción primitiva (Art. 209 Cn.).</w:t>
            </w:r>
            <w:r w:rsidRPr="001B7F27">
              <w:rPr>
                <w:rFonts w:ascii="Arial" w:eastAsia="Times New Roman" w:hAnsi="Arial" w:cs="Arial"/>
                <w:color w:val="003399"/>
                <w:sz w:val="17"/>
                <w:szCs w:val="17"/>
                <w:lang w:eastAsia="es-AR"/>
              </w:rPr>
              <w:br/>
              <w:t>Asimismo, en los siguientes casos se exige mayoría absoluta:</w:t>
            </w:r>
            <w:r w:rsidRPr="001B7F27">
              <w:rPr>
                <w:rFonts w:ascii="Arial" w:eastAsia="Times New Roman" w:hAnsi="Arial" w:cs="Arial"/>
                <w:color w:val="003399"/>
                <w:sz w:val="17"/>
                <w:szCs w:val="17"/>
                <w:lang w:eastAsia="es-AR"/>
              </w:rPr>
              <w:br/>
              <w:t>i. de la Cámara de Senadores y de la Cámara de Diputados para la designación de los senadores y de los diputados, respectivamente, que integrarán la Comisión Permanente del Congreso (Art. 218 Cn.);</w:t>
            </w:r>
            <w:r w:rsidRPr="001B7F27">
              <w:rPr>
                <w:rFonts w:ascii="Arial" w:eastAsia="Times New Roman" w:hAnsi="Arial" w:cs="Arial"/>
                <w:color w:val="003399"/>
                <w:sz w:val="17"/>
                <w:szCs w:val="17"/>
                <w:lang w:eastAsia="es-AR"/>
              </w:rPr>
              <w:br/>
              <w:t>ii. de la Cámara de Senadores para integrar las ternas para Contralor y Subcontralor, y de la Cámara de Diputados para designarlos (Art. 281 Cn.);</w:t>
            </w:r>
            <w:r w:rsidRPr="001B7F27">
              <w:rPr>
                <w:rFonts w:ascii="Arial" w:eastAsia="Times New Roman" w:hAnsi="Arial" w:cs="Arial"/>
                <w:color w:val="003399"/>
                <w:sz w:val="17"/>
                <w:szCs w:val="17"/>
                <w:lang w:eastAsia="es-AR"/>
              </w:rPr>
              <w:br/>
              <w:t>iii. de cada cámara para aprobar una enmienda de la Constitución (Art. 290 Cn.).</w:t>
            </w:r>
            <w:r w:rsidRPr="001B7F27">
              <w:rPr>
                <w:rFonts w:ascii="Arial" w:eastAsia="Times New Roman" w:hAnsi="Arial" w:cs="Arial"/>
                <w:color w:val="003399"/>
                <w:sz w:val="17"/>
                <w:szCs w:val="17"/>
                <w:lang w:eastAsia="es-AR"/>
              </w:rPr>
              <w:br/>
              <w:t>e) Mayoría absoluta de dos tercios. Es otra de las mayorías calificadas. Se forma con el voto en igual sentido, de las dos terceras partes del número total de miembros de cada cámara. En la Cámara de Senadores se conforma a partir de 30 votos; y en la Cámara de Diputados, a partir de 54 votos.13</w:t>
            </w:r>
            <w:r w:rsidRPr="001B7F27">
              <w:rPr>
                <w:rFonts w:ascii="Arial" w:eastAsia="Times New Roman" w:hAnsi="Arial" w:cs="Arial"/>
                <w:color w:val="003399"/>
                <w:sz w:val="17"/>
                <w:szCs w:val="17"/>
                <w:lang w:eastAsia="es-AR"/>
              </w:rPr>
              <w:br/>
              <w:t>Se exige mayoría absoluta de dos tercios de cada cámara para decidir el traslado de la capital de la República a otro punto del territorio nacional (Art. 202, inc. 19, Cn.).</w:t>
            </w:r>
            <w:r w:rsidRPr="001B7F27">
              <w:rPr>
                <w:rFonts w:ascii="Arial" w:eastAsia="Times New Roman" w:hAnsi="Arial" w:cs="Arial"/>
                <w:color w:val="003399"/>
                <w:sz w:val="17"/>
                <w:szCs w:val="17"/>
                <w:lang w:eastAsia="es-AR"/>
              </w:rPr>
              <w:br/>
              <w:t>También se exige esta mayoría de la cámara revisora para rechazar totalmente un proyecto de ley por segunda vez, después de que la cámara de origen hubiese ratificado la aprobación del mismo (Art. 206 Cn.).</w:t>
            </w:r>
            <w:r w:rsidRPr="001B7F27">
              <w:rPr>
                <w:rFonts w:ascii="Arial" w:eastAsia="Times New Roman" w:hAnsi="Arial" w:cs="Arial"/>
                <w:color w:val="003399"/>
                <w:sz w:val="17"/>
                <w:szCs w:val="17"/>
                <w:lang w:eastAsia="es-AR"/>
              </w:rPr>
              <w:br/>
              <w:t>Igualmente se exige mayoría absoluta de dos tercios de cada cámara para rechazar totalmente el proyecto de Presupuesto General de la Nación presentado por el Poder Ejecutivo (Art. 216 Cn.).</w:t>
            </w:r>
            <w:r w:rsidRPr="001B7F27">
              <w:rPr>
                <w:rFonts w:ascii="Arial" w:eastAsia="Times New Roman" w:hAnsi="Arial" w:cs="Arial"/>
                <w:color w:val="003399"/>
                <w:sz w:val="17"/>
                <w:szCs w:val="17"/>
                <w:lang w:eastAsia="es-AR"/>
              </w:rPr>
              <w:br/>
              <w:t>Asimismo, se exige esta mayoría de la Cámara de Senadores para declarar culpables a los sometidos a juicio político (Art. 225 Cn.); y de cada cámara para declarar la necesidad de la reforma de la Constitución (Art. 289, 3er. pfo., Cn.).</w:t>
            </w:r>
            <w:r w:rsidRPr="001B7F27">
              <w:rPr>
                <w:rFonts w:ascii="Arial" w:eastAsia="Times New Roman" w:hAnsi="Arial" w:cs="Arial"/>
                <w:color w:val="003399"/>
                <w:sz w:val="17"/>
                <w:szCs w:val="17"/>
                <w:lang w:eastAsia="es-AR"/>
              </w:rPr>
              <w:br/>
              <w:t xml:space="preserve">Quórum y mayorías de ambas cámaras reunidas en Congreso. En el cuarto párrafo del artículo 185 se establece que 'las disposiciones previstas en este artículo se aplicarán también a las sesiones de ambas Cámaras reunidas en Congreso'. De acuerdo con esto, en las sesiones conjuntas el quórum se forma a partir de 64 miembros presentes, sobre un total de 125. La simple mayoría se forma con una cantidad de votos que puede oscilar de 33 votos, como mínimo, sobre 64 presentes, a 64 votos, como mínimo, sobre 125 presentes. La mayoría de dos tercios puede variar </w:t>
            </w:r>
            <w:r w:rsidRPr="001B7F27">
              <w:rPr>
                <w:rFonts w:ascii="Arial" w:eastAsia="Times New Roman" w:hAnsi="Arial" w:cs="Arial"/>
                <w:color w:val="003399"/>
                <w:sz w:val="17"/>
                <w:szCs w:val="17"/>
                <w:lang w:eastAsia="es-AR"/>
              </w:rPr>
              <w:lastRenderedPageBreak/>
              <w:t>de 43 votos, como mínimo, sobre 64 presentes, a 84 votos, como mínimo, sobre 125 presentes. La mayoría absoluta se forma a partir de 64 votos, y la mayoría absoluta de dos tercios, a partir de 84 votos.</w:t>
            </w:r>
            <w:r w:rsidRPr="001B7F27">
              <w:rPr>
                <w:rFonts w:ascii="Arial" w:eastAsia="Times New Roman" w:hAnsi="Arial" w:cs="Arial"/>
                <w:color w:val="003399"/>
                <w:sz w:val="17"/>
                <w:szCs w:val="17"/>
                <w:lang w:eastAsia="es-AR"/>
              </w:rPr>
              <w:br/>
              <w:t>A modo de ejemplo se pueden mencionar los siguientes casos previstos en la Constitución:</w:t>
            </w:r>
            <w:r w:rsidRPr="001B7F27">
              <w:rPr>
                <w:rFonts w:ascii="Arial" w:eastAsia="Times New Roman" w:hAnsi="Arial" w:cs="Arial"/>
                <w:color w:val="003399"/>
                <w:sz w:val="17"/>
                <w:szCs w:val="17"/>
                <w:lang w:eastAsia="es-AR"/>
              </w:rPr>
              <w:br/>
              <w:t>i. Se exige mayoría absoluta de dos tercios de votos de ambas cámaras reunidas conjuntamente, para emitir un voto de censura en contra de los Ministros del Poder Ejecutivo y otros altos funcionarios que hubiesen sido citados e interpelados, y para recomendar, en consecuencia, su remoción del cargo al Presidente de la República o al superior jerárquico (Art. 194 Cn.).</w:t>
            </w:r>
            <w:r w:rsidRPr="001B7F27">
              <w:rPr>
                <w:rFonts w:ascii="Arial" w:eastAsia="Times New Roman" w:hAnsi="Arial" w:cs="Arial"/>
                <w:color w:val="003399"/>
                <w:sz w:val="17"/>
                <w:szCs w:val="17"/>
                <w:lang w:eastAsia="es-AR"/>
              </w:rPr>
              <w:br/>
              <w:t>ii. Se exige mayoría absoluta de votos del Congreso para la designación de un nuevo Vicepresidente, cuando se produjere la vacancia definitiva de la Vicepresidencia durante los dos últimos años del período constitucional en curso (Art. 234 Cn.).</w:t>
            </w:r>
            <w:r w:rsidRPr="001B7F27">
              <w:rPr>
                <w:rFonts w:ascii="Arial" w:eastAsia="Times New Roman" w:hAnsi="Arial" w:cs="Arial"/>
                <w:color w:val="003399"/>
                <w:sz w:val="17"/>
                <w:szCs w:val="17"/>
                <w:lang w:eastAsia="es-AR"/>
              </w:rPr>
              <w:br/>
              <w:t>iii. Se exige mayoría absoluta de ambas cámaras para prorrogar el 'término de sesenta días como máximo' por el que inicialmente hubiere sido declarado el estado de excepción, 'por períodos de hasta treinta días sucesivos' (Art. 288, 2° pfo., Cn.) y para el levantamiento del mismo (penúltimo párrafo).</w:t>
            </w:r>
            <w:r w:rsidRPr="001B7F27">
              <w:rPr>
                <w:rFonts w:ascii="Arial" w:eastAsia="Times New Roman" w:hAnsi="Arial" w:cs="Arial"/>
                <w:color w:val="003399"/>
                <w:sz w:val="17"/>
                <w:szCs w:val="17"/>
                <w:lang w:eastAsia="es-AR"/>
              </w:rPr>
              <w:br/>
              <w:t>Otros casos. De conformidad con lo dispuesto en el último párrafo del Art. 185 Cn., el régimen de quórum y mayorías que analizamos se aplica a 'cualquier órgano colegiado electivo previsto por esta Constitución'.</w:t>
            </w:r>
            <w:r w:rsidRPr="001B7F27">
              <w:rPr>
                <w:rFonts w:ascii="Arial" w:eastAsia="Times New Roman" w:hAnsi="Arial" w:cs="Arial"/>
                <w:color w:val="003399"/>
                <w:sz w:val="17"/>
                <w:szCs w:val="17"/>
                <w:lang w:eastAsia="es-AR"/>
              </w:rPr>
              <w:br/>
              <w:t>Como se ve, tres son los requisitos exigidos en cuanto al órgano para que le sean aplicables dichas disposiciones: a) que sea colegiado, b) que sea electivo, debiendo entenderse de elección popular, y c) que esté previsto en la Constitución.</w:t>
            </w:r>
            <w:r w:rsidRPr="001B7F27">
              <w:rPr>
                <w:rFonts w:ascii="Arial" w:eastAsia="Times New Roman" w:hAnsi="Arial" w:cs="Arial"/>
                <w:color w:val="003399"/>
                <w:sz w:val="17"/>
                <w:szCs w:val="17"/>
                <w:lang w:eastAsia="es-AR"/>
              </w:rPr>
              <w:br/>
              <w:t>De acuerdo con esto, sólo están afectadas las Juntas Departamentales (Art. 161 Cn.) y las Juntas Municipales (Art. 167 Cn.). No lo están el Consejo de Ministros, el Consejo de la Magistratura, el Jurado de Enjuiciamiento de Magistrados, la Corte Suprema de Justicia y el Tribunal Superior de Justicia Electoral.</w:t>
            </w:r>
            <w:r w:rsidRPr="001B7F27">
              <w:rPr>
                <w:rFonts w:ascii="Arial" w:eastAsia="Times New Roman" w:hAnsi="Arial" w:cs="Arial"/>
                <w:color w:val="003399"/>
                <w:sz w:val="17"/>
                <w:szCs w:val="17"/>
                <w:lang w:eastAsia="es-AR"/>
              </w:rPr>
              <w:br/>
              <w:t>En la Constitución se establece que 'los departamentos y las municipalidades podrán ser intervenidos por el Poder Ejecutivo, previo acuerdo de la Cámara de Diputados, ... a solicitud de la junta departamental o de la municipal, por decisión de la mayoría absoluta ...' (Art. 165, inc. 1, Cn.).</w:t>
            </w:r>
            <w:r w:rsidRPr="001B7F27">
              <w:rPr>
                <w:rFonts w:ascii="Arial" w:eastAsia="Times New Roman" w:hAnsi="Arial" w:cs="Arial"/>
                <w:color w:val="003399"/>
                <w:sz w:val="17"/>
                <w:szCs w:val="17"/>
                <w:lang w:eastAsia="es-AR"/>
              </w:rPr>
              <w:br/>
              <w:t>Voto del presidente del cuerpo. En la Cámara de Senadores, “en las votaciones en que se requiera la mayoría absoluta de dos tercios podrá participar el Presidente” (Reglamento interno, Art. 161, in fine).</w:t>
            </w:r>
            <w:r w:rsidRPr="001B7F27">
              <w:rPr>
                <w:rFonts w:ascii="Arial" w:eastAsia="Times New Roman" w:hAnsi="Arial" w:cs="Arial"/>
                <w:color w:val="003399"/>
                <w:sz w:val="17"/>
                <w:szCs w:val="17"/>
                <w:lang w:eastAsia="es-AR"/>
              </w:rPr>
              <w:br/>
              <w:t>En cuanto a la Cámara de Diputados, se establece lo siguiente: “En las votaciones el Presidente votará como un miembro más del quórum legal. Si el resultado de la votación fuere un empate, se reabrirá la discusión y se votará nuevamente, y si persistiere el empate decidirá el Presidente”(Art. 133 del Reglamento interno, texto modificado por Resolución N° 158, del 11 de marzo de 1999). En virtud de esta disposición se concede al presidente de la cámara el derecho de emitir un segundo voto, en el caso que se menciona.</w:t>
            </w:r>
            <w:r w:rsidRPr="001B7F27">
              <w:rPr>
                <w:rFonts w:ascii="Arial" w:eastAsia="Times New Roman" w:hAnsi="Arial" w:cs="Arial"/>
                <w:color w:val="003399"/>
                <w:sz w:val="17"/>
                <w:szCs w:val="17"/>
                <w:lang w:eastAsia="es-AR"/>
              </w:rPr>
              <w:br/>
              <w:t>En nuestra opinión, el presidente del cuerpo debería votar en todos los casos. En efecto, por la forma en que están definidas las mayorías en la Constitución, se trata de alcanzar un número mínimo de votos (mitad más uno o dos terceras partes de los miembros presentes; mitad más uno o dos terceras partes del total de miembros de cada cámara) para que quede conformada la mayoría requerida para que una decisión o resolución pueda ser adoptada. Si no se logra tal número de votos, debe considerarse que la propuesta ha sido rechazada.</w:t>
            </w:r>
            <w:r w:rsidRPr="001B7F27">
              <w:rPr>
                <w:rFonts w:ascii="Arial" w:eastAsia="Times New Roman" w:hAnsi="Arial" w:cs="Arial"/>
                <w:color w:val="003399"/>
                <w:sz w:val="17"/>
                <w:szCs w:val="17"/>
                <w:lang w:eastAsia="es-AR"/>
              </w:rPr>
              <w:br/>
              <w:t>Como se ve, en realidad no existe posibilidad de que se dé una situación de empate cuya resolución corresponda al presidente del cuerpo mediante la emisión de su voto (o de un segundo voto). La adopción de una determinada resolución o decisión, requiere alcanzar la mayoría exigida para el caso, como se puede apreciar en los ejemplos mencionados más arriba. En estas circunstancias, lo que el presidente podrá hacer, en caso de que le corresponda votar en último lugar, es optar entre sumar su voto a los votos emitidos por otros miembros, buscando la conformación de la mayoría requerida, o no hacerlo. Pero no se presentará ninguna situación de empate en que el voto del presidente (o el segundo voto del mismo) sea necesario para desempatar. Lo que sí puede ocurrir es que su voto (y en el razonamiento que seguimos no cabe el segundo voto), pueda determinar la formación o no de la mayoría requerida para adoptar una decisión o resolución determinada. Por esta razón creemos que los presidentes de las Cámaras deben estar habilitados a votar en todos los casos, como cualquier otro congresista.</w:t>
            </w:r>
            <w:r w:rsidRPr="001B7F27">
              <w:rPr>
                <w:rFonts w:ascii="Arial" w:eastAsia="Times New Roman" w:hAnsi="Arial" w:cs="Arial"/>
                <w:color w:val="003399"/>
                <w:sz w:val="17"/>
                <w:szCs w:val="17"/>
                <w:lang w:eastAsia="es-AR"/>
              </w:rPr>
              <w:br/>
              <w:t>QUÓRUM Y MAYORÍAS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Concepto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Cámara de Senadores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Cámara de Diputados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Congreso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Quórum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mitad más uno</w:t>
            </w:r>
            <w:r w:rsidRPr="001B7F27">
              <w:rPr>
                <w:rFonts w:ascii="Arial" w:eastAsia="Times New Roman" w:hAnsi="Arial" w:cs="Arial"/>
                <w:color w:val="003399"/>
                <w:sz w:val="17"/>
                <w:szCs w:val="17"/>
                <w:lang w:eastAsia="es-AR"/>
              </w:rPr>
              <w:br/>
              <w:t>del total de miembros de cada cámara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total: 45 miembros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 xml:space="preserve">quórum: desde </w:t>
            </w:r>
            <w:r w:rsidRPr="001B7F27">
              <w:rPr>
                <w:rFonts w:ascii="Arial" w:eastAsia="Times New Roman" w:hAnsi="Arial" w:cs="Arial"/>
                <w:color w:val="003399"/>
                <w:sz w:val="17"/>
                <w:szCs w:val="17"/>
                <w:lang w:eastAsia="es-AR"/>
              </w:rPr>
              <w:br/>
              <w:t>24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total: 80 </w:t>
            </w:r>
            <w:r w:rsidRPr="001B7F27">
              <w:rPr>
                <w:rFonts w:ascii="Arial" w:eastAsia="Times New Roman" w:hAnsi="Arial" w:cs="Arial"/>
                <w:color w:val="003399"/>
                <w:sz w:val="17"/>
                <w:szCs w:val="17"/>
                <w:lang w:eastAsia="es-AR"/>
              </w:rPr>
              <w:br/>
              <w:t>miembros</w:t>
            </w:r>
            <w:r w:rsidRPr="001B7F27">
              <w:rPr>
                <w:rFonts w:ascii="Arial" w:eastAsia="Times New Roman" w:hAnsi="Arial" w:cs="Arial"/>
                <w:color w:val="003399"/>
                <w:sz w:val="17"/>
                <w:szCs w:val="17"/>
                <w:lang w:eastAsia="es-AR"/>
              </w:rPr>
              <w:br/>
              <w:t xml:space="preserve">quórum: desde </w:t>
            </w:r>
            <w:r w:rsidRPr="001B7F27">
              <w:rPr>
                <w:rFonts w:ascii="Arial" w:eastAsia="Times New Roman" w:hAnsi="Arial" w:cs="Arial"/>
                <w:color w:val="003399"/>
                <w:sz w:val="17"/>
                <w:szCs w:val="17"/>
                <w:lang w:eastAsia="es-AR"/>
              </w:rPr>
              <w:br/>
              <w:t>41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total: 125 miembros</w:t>
            </w:r>
            <w:r w:rsidRPr="001B7F27">
              <w:rPr>
                <w:rFonts w:ascii="Arial" w:eastAsia="Times New Roman" w:hAnsi="Arial" w:cs="Arial"/>
                <w:color w:val="003399"/>
                <w:sz w:val="17"/>
                <w:szCs w:val="17"/>
                <w:lang w:eastAsia="es-AR"/>
              </w:rPr>
              <w:br/>
              <w:t>quórum: desde</w:t>
            </w:r>
            <w:r w:rsidRPr="001B7F27">
              <w:rPr>
                <w:rFonts w:ascii="Arial" w:eastAsia="Times New Roman" w:hAnsi="Arial" w:cs="Arial"/>
                <w:color w:val="003399"/>
                <w:sz w:val="17"/>
                <w:szCs w:val="17"/>
                <w:lang w:eastAsia="es-AR"/>
              </w:rPr>
              <w:br/>
              <w:t>64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Mayoría simple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mitad más </w:t>
            </w:r>
            <w:r w:rsidRPr="001B7F27">
              <w:rPr>
                <w:rFonts w:ascii="Arial" w:eastAsia="Times New Roman" w:hAnsi="Arial" w:cs="Arial"/>
                <w:color w:val="003399"/>
                <w:sz w:val="17"/>
                <w:szCs w:val="17"/>
                <w:lang w:eastAsia="es-AR"/>
              </w:rPr>
              <w:br/>
              <w:t>uno de los miembros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puede variar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13 votos</w:t>
            </w:r>
            <w:r w:rsidRPr="001B7F27">
              <w:rPr>
                <w:rFonts w:ascii="Arial" w:eastAsia="Times New Roman" w:hAnsi="Arial" w:cs="Arial"/>
                <w:color w:val="003399"/>
                <w:sz w:val="17"/>
                <w:szCs w:val="17"/>
                <w:lang w:eastAsia="es-AR"/>
              </w:rPr>
              <w:br/>
              <w:t>24presentes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24 votos</w:t>
            </w:r>
            <w:r w:rsidRPr="001B7F27">
              <w:rPr>
                <w:rFonts w:ascii="Arial" w:eastAsia="Times New Roman" w:hAnsi="Arial" w:cs="Arial"/>
                <w:color w:val="003399"/>
                <w:sz w:val="17"/>
                <w:szCs w:val="17"/>
                <w:lang w:eastAsia="es-AR"/>
              </w:rPr>
              <w:br/>
              <w:t>45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puede variar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22 votos</w:t>
            </w:r>
            <w:r w:rsidRPr="001B7F27">
              <w:rPr>
                <w:rFonts w:ascii="Arial" w:eastAsia="Times New Roman" w:hAnsi="Arial" w:cs="Arial"/>
                <w:color w:val="003399"/>
                <w:sz w:val="17"/>
                <w:szCs w:val="17"/>
                <w:lang w:eastAsia="es-AR"/>
              </w:rPr>
              <w:br/>
              <w:t>41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41 votos</w:t>
            </w:r>
            <w:r w:rsidRPr="001B7F27">
              <w:rPr>
                <w:rFonts w:ascii="Arial" w:eastAsia="Times New Roman" w:hAnsi="Arial" w:cs="Arial"/>
                <w:color w:val="003399"/>
                <w:sz w:val="17"/>
                <w:szCs w:val="17"/>
                <w:lang w:eastAsia="es-AR"/>
              </w:rPr>
              <w:br/>
              <w:t>80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puede variar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33 votos</w:t>
            </w:r>
            <w:r w:rsidRPr="001B7F27">
              <w:rPr>
                <w:rFonts w:ascii="Arial" w:eastAsia="Times New Roman" w:hAnsi="Arial" w:cs="Arial"/>
                <w:color w:val="003399"/>
                <w:sz w:val="17"/>
                <w:szCs w:val="17"/>
                <w:lang w:eastAsia="es-AR"/>
              </w:rPr>
              <w:br/>
              <w:t>64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64 votos</w:t>
            </w:r>
            <w:r w:rsidRPr="001B7F27">
              <w:rPr>
                <w:rFonts w:ascii="Arial" w:eastAsia="Times New Roman" w:hAnsi="Arial" w:cs="Arial"/>
                <w:color w:val="003399"/>
                <w:sz w:val="17"/>
                <w:szCs w:val="17"/>
                <w:lang w:eastAsia="es-AR"/>
              </w:rPr>
              <w:br/>
              <w:t>125presentes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Mayoría </w:t>
            </w:r>
            <w:r w:rsidRPr="001B7F27">
              <w:rPr>
                <w:rFonts w:ascii="Arial" w:eastAsia="Times New Roman" w:hAnsi="Arial" w:cs="Arial"/>
                <w:color w:val="003399"/>
                <w:sz w:val="17"/>
                <w:szCs w:val="17"/>
                <w:lang w:eastAsia="es-AR"/>
              </w:rPr>
              <w:br/>
              <w:t>de dos tercios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dos terceras </w:t>
            </w:r>
            <w:r w:rsidRPr="001B7F27">
              <w:rPr>
                <w:rFonts w:ascii="Arial" w:eastAsia="Times New Roman" w:hAnsi="Arial" w:cs="Arial"/>
                <w:color w:val="003399"/>
                <w:sz w:val="17"/>
                <w:szCs w:val="17"/>
                <w:lang w:eastAsia="es-AR"/>
              </w:rPr>
              <w:br/>
              <w:t>partes de los miembros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puede variar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16 votos</w:t>
            </w:r>
            <w:r w:rsidRPr="001B7F27">
              <w:rPr>
                <w:rFonts w:ascii="Arial" w:eastAsia="Times New Roman" w:hAnsi="Arial" w:cs="Arial"/>
                <w:color w:val="003399"/>
                <w:sz w:val="17"/>
                <w:szCs w:val="17"/>
                <w:lang w:eastAsia="es-AR"/>
              </w:rPr>
              <w:br/>
              <w:t xml:space="preserve">24 presentes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30 votos</w:t>
            </w:r>
            <w:r w:rsidRPr="001B7F27">
              <w:rPr>
                <w:rFonts w:ascii="Arial" w:eastAsia="Times New Roman" w:hAnsi="Arial" w:cs="Arial"/>
                <w:color w:val="003399"/>
                <w:sz w:val="17"/>
                <w:szCs w:val="17"/>
                <w:lang w:eastAsia="es-AR"/>
              </w:rPr>
              <w:br/>
              <w:t>45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puede variar</w:t>
            </w:r>
            <w:r w:rsidRPr="001B7F27">
              <w:rPr>
                <w:rFonts w:ascii="Arial" w:eastAsia="Times New Roman" w:hAnsi="Arial" w:cs="Arial"/>
                <w:color w:val="003399"/>
                <w:sz w:val="17"/>
                <w:szCs w:val="17"/>
                <w:lang w:eastAsia="es-AR"/>
              </w:rPr>
              <w:br/>
              <w:t>de 28 votos</w:t>
            </w:r>
            <w:r w:rsidRPr="001B7F27">
              <w:rPr>
                <w:rFonts w:ascii="Arial" w:eastAsia="Times New Roman" w:hAnsi="Arial" w:cs="Arial"/>
                <w:color w:val="003399"/>
                <w:sz w:val="17"/>
                <w:szCs w:val="17"/>
                <w:lang w:eastAsia="es-AR"/>
              </w:rPr>
              <w:br/>
              <w:t>41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54 votos</w:t>
            </w:r>
            <w:r w:rsidRPr="001B7F27">
              <w:rPr>
                <w:rFonts w:ascii="Arial" w:eastAsia="Times New Roman" w:hAnsi="Arial" w:cs="Arial"/>
                <w:color w:val="003399"/>
                <w:sz w:val="17"/>
                <w:szCs w:val="17"/>
                <w:lang w:eastAsia="es-AR"/>
              </w:rPr>
              <w:br/>
              <w:t>80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puede variar</w:t>
            </w:r>
            <w:r w:rsidRPr="001B7F27">
              <w:rPr>
                <w:rFonts w:ascii="Arial" w:eastAsia="Times New Roman" w:hAnsi="Arial" w:cs="Arial"/>
                <w:color w:val="003399"/>
                <w:sz w:val="17"/>
                <w:szCs w:val="17"/>
                <w:lang w:eastAsia="es-AR"/>
              </w:rPr>
              <w:br/>
              <w:t>de 43 votos</w:t>
            </w:r>
            <w:r w:rsidRPr="001B7F27">
              <w:rPr>
                <w:rFonts w:ascii="Arial" w:eastAsia="Times New Roman" w:hAnsi="Arial" w:cs="Arial"/>
                <w:color w:val="003399"/>
                <w:sz w:val="17"/>
                <w:szCs w:val="17"/>
                <w:lang w:eastAsia="es-AR"/>
              </w:rPr>
              <w:br/>
              <w:t>64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a 84 votos</w:t>
            </w:r>
            <w:r w:rsidRPr="001B7F27">
              <w:rPr>
                <w:rFonts w:ascii="Arial" w:eastAsia="Times New Roman" w:hAnsi="Arial" w:cs="Arial"/>
                <w:color w:val="003399"/>
                <w:sz w:val="17"/>
                <w:szCs w:val="17"/>
                <w:lang w:eastAsia="es-AR"/>
              </w:rPr>
              <w:br/>
              <w:t>125 presentes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Mayoría absoluta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equivalente al</w:t>
            </w:r>
            <w:r w:rsidRPr="001B7F27">
              <w:rPr>
                <w:rFonts w:ascii="Arial" w:eastAsia="Times New Roman" w:hAnsi="Arial" w:cs="Arial"/>
                <w:color w:val="003399"/>
                <w:sz w:val="17"/>
                <w:szCs w:val="17"/>
                <w:lang w:eastAsia="es-AR"/>
              </w:rPr>
              <w:br/>
              <w:t>quórum</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24 votos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41 votos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64 votos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Mayoría absoluta de dos tercios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dos terceras </w:t>
            </w:r>
            <w:r w:rsidRPr="001B7F27">
              <w:rPr>
                <w:rFonts w:ascii="Arial" w:eastAsia="Times New Roman" w:hAnsi="Arial" w:cs="Arial"/>
                <w:color w:val="003399"/>
                <w:sz w:val="17"/>
                <w:szCs w:val="17"/>
                <w:lang w:eastAsia="es-AR"/>
              </w:rPr>
              <w:br/>
              <w:t>partes del total</w:t>
            </w:r>
            <w:r w:rsidRPr="001B7F27">
              <w:rPr>
                <w:rFonts w:ascii="Arial" w:eastAsia="Times New Roman" w:hAnsi="Arial" w:cs="Arial"/>
                <w:color w:val="003399"/>
                <w:sz w:val="17"/>
                <w:szCs w:val="17"/>
                <w:lang w:eastAsia="es-AR"/>
              </w:rPr>
              <w:br/>
              <w:t xml:space="preserve">de miembros de </w:t>
            </w:r>
            <w:r w:rsidRPr="001B7F27">
              <w:rPr>
                <w:rFonts w:ascii="Arial" w:eastAsia="Times New Roman" w:hAnsi="Arial" w:cs="Arial"/>
                <w:color w:val="003399"/>
                <w:sz w:val="17"/>
                <w:szCs w:val="17"/>
                <w:lang w:eastAsia="es-AR"/>
              </w:rPr>
              <w:br/>
              <w:t>cada cámara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30 votos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54 votos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partir de 84 votos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Bidart Campos, Germán J., El Derecho Constitucional del Poder, Bs. As., Ed. Ediar, 1967, 2 ts.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Campos Cervera, Rodrigo, “Convocación irregular e innecesaria”, Diario Última Hora, 27 de diciembre de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Legislación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Constitución de 1992.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de 1870.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de 1940.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de 1967.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de Alemania.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del Brasil.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Constitución de Costa Rica.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Decreto N° 15.850, del 21 de diciembre de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Proyecto de Constitución de la A.N.R.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Proyecto de Constitución del P.L.R.A.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Proyecto Paciello.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Reglamento Interno de la Cámara de Diputados.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Reglamento Interno de la Cámara de Senadores. </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92"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tbl>
      <w:tblPr>
        <w:tblW w:w="0" w:type="auto"/>
        <w:tblCellSpacing w:w="0" w:type="dxa"/>
        <w:tblCellMar>
          <w:left w:w="0" w:type="dxa"/>
          <w:right w:w="0" w:type="dxa"/>
        </w:tblCellMar>
        <w:tblLook w:val="04A0" w:firstRow="1" w:lastRow="0" w:firstColumn="1" w:lastColumn="0" w:noHBand="0" w:noVBand="1"/>
      </w:tblPr>
      <w:tblGrid>
        <w:gridCol w:w="8838"/>
      </w:tblGrid>
      <w:tr w:rsidR="001B7F27" w:rsidRPr="001B7F27" w:rsidTr="001B7F27">
        <w:trPr>
          <w:tblCellSpacing w:w="0" w:type="dxa"/>
        </w:trPr>
        <w:tc>
          <w:tcPr>
            <w:tcW w:w="0" w:type="auto"/>
            <w:shd w:val="clear" w:color="auto" w:fill="E8EAF6"/>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bookmarkStart w:id="30" w:name="30"/>
            <w:bookmarkEnd w:id="30"/>
            <w:r w:rsidRPr="001B7F27">
              <w:rPr>
                <w:rFonts w:ascii="Arial" w:eastAsia="Times New Roman" w:hAnsi="Arial" w:cs="Arial"/>
                <w:b/>
                <w:bCs/>
                <w:color w:val="009933"/>
                <w:sz w:val="20"/>
                <w:szCs w:val="20"/>
                <w:lang w:eastAsia="es-AR"/>
              </w:rPr>
              <w:t>"Una década de Democracia"</w:t>
            </w:r>
            <w:r w:rsidRPr="001B7F27">
              <w:rPr>
                <w:rFonts w:ascii="Arial" w:eastAsia="Times New Roman" w:hAnsi="Arial" w:cs="Arial"/>
                <w:color w:val="003399"/>
                <w:sz w:val="17"/>
                <w:szCs w:val="17"/>
                <w:lang w:eastAsia="es-AR"/>
              </w:rPr>
              <w:br/>
              <w:t>Rafael Filizzola Serra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b/>
                <w:bCs/>
                <w:color w:val="009933"/>
                <w:sz w:val="20"/>
                <w:szCs w:val="20"/>
                <w:lang w:eastAsia="es-AR"/>
              </w:rPr>
              <w:t xml:space="preserve">Tema: </w:t>
            </w:r>
            <w:r w:rsidRPr="001B7F27">
              <w:rPr>
                <w:rFonts w:ascii="Arial" w:eastAsia="Times New Roman" w:hAnsi="Arial" w:cs="Arial"/>
                <w:color w:val="003399"/>
                <w:sz w:val="17"/>
                <w:szCs w:val="17"/>
                <w:lang w:eastAsia="es-AR"/>
              </w:rPr>
              <w:t>Derecho Constitucional</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93" w:anchor="arriba" w:history="1">
              <w:r w:rsidRPr="001B7F27">
                <w:rPr>
                  <w:rFonts w:ascii="Arial" w:eastAsia="Times New Roman" w:hAnsi="Arial" w:cs="Arial"/>
                  <w:i/>
                  <w:iCs/>
                  <w:color w:val="003399"/>
                  <w:sz w:val="17"/>
                  <w:szCs w:val="17"/>
                  <w:lang w:eastAsia="es-AR"/>
                </w:rPr>
                <w:t>volver arriba</w:t>
              </w:r>
            </w:hyperlink>
          </w:p>
        </w:tc>
      </w:tr>
      <w:tr w:rsidR="001B7F27" w:rsidRPr="001B7F27" w:rsidTr="001B7F27">
        <w:trPr>
          <w:tblCellSpacing w:w="0" w:type="dxa"/>
        </w:trPr>
        <w:tc>
          <w:tcPr>
            <w:tcW w:w="0" w:type="auto"/>
            <w:hideMark/>
          </w:tcPr>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1.Un proceso democratizador estancado y en retroceso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el golpe militar que derrocó a la dictadura del general Alfredo Stroessner en el año 1989, se inició un proceso de transición a la democracia que por sus características no tiene precedentes en la historia del Paraguay.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una primera etapa, bajo los gobiernos del general Andrés Rodríguez, de facto en principio y legitimado por unas elecciones medianamente libres después, se garantizaron las libertades políticas y los derechos humanos y se aprobó una nueva Constitución que reemplazó a la del año 67, redactada durante la dictadura. Igualmente, en materia electoral, con las elecciones municipales realizadas en el año 1991, la oposición logró avances importantes y por primera vez alcanzó el gobierno de importantes ciudades de todo el país.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elecciones del año 93 marcan un momento fundamental para la consolidación del proceso democratizador. Si bien la oposición no pudo lograr la alternancia en el poder, obtuvo la mayoría en el Parlamento con lo cual se quebró la histórica hegemonía del partido de gobierno. Esto permitió profundizar las reformas constitucionales y sobre todo avances importantísimos en materia de independencia del Poder Judicial, subordinación de las Fuerzas Armadas al poder civil y modernización del sistema electoral.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a pesar de estos logros persisten prácticas políticas que limitan la vigencia del Estado de derecho y el alcance de la democracia misma. En estos doce años no se ha podido consolidar una cultura verdaderamente democrática ni una institucionalidad suficientemente afianzada y que sean capaces de revertir la herencia de décadas de autoritarismo. Por ello, no se logra superar la utilización del Estado en favor de los intereses políticos y electorales del partido de gobierno, lo cual contribuye a que se mantenga el esquema de prebendarismo, clientelismo y corrupción generalizada, que tiene efectos devastadores en la gobernabilidad del país y en la credibilidad hacia las instituciones democráticas.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contexto, Paraguay se encuentra en una situación particularmente difícil. En más de una década de democracia se han dado pasos fundamentales en materia de libertades y derechos individuales pero se ha fracasado rotundamente en la solución de los problemas económicos y sociales. El desafío que tenemos por delante es profundizar las conquistas alcanzadas a pesar del desencanto que existe en la gente y sobre todo, de sectores retardatarios del partido de gobierno que aspiran al endurecimiento de posiciones para volver a monopolizar los espacios públicos que se han logrado despartidizar, o hacerlos más pluralistas. En este camino es fundamental un amplio protagonismo de la sociedad civil y tener la capacidad de lograr acuerdos políticos que involucren a aquellos actores políticos y sociales que verdaderamente apuestan a la modernización del país.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Este trabajo pretende describir los factores históricos y políticos que han contribuido a configurar el régimen vigente en el Paraguay y las razones por las cuales más de una década de democracia han sido insuficientes para que se logren cambios radicales en el sistema.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2.La configuración de un sistema, algunos antecedentes históricos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2.1.La Colonia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historia paraguaya no se caracteriza por una tradición democrática ni por la vigencia de instituciones políticas fuertemente enraizadas ni por grandes consensos en torno a la solución de los problemas nacionales.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durante la conquista y el periodo colonial las revueltas populares han sido frecuentes. Gran parte de </w:t>
            </w:r>
            <w:r w:rsidRPr="001B7F27">
              <w:rPr>
                <w:rFonts w:ascii="Arial" w:eastAsia="Times New Roman" w:hAnsi="Arial" w:cs="Arial"/>
                <w:color w:val="003399"/>
                <w:sz w:val="17"/>
                <w:szCs w:val="17"/>
                <w:lang w:eastAsia="es-AR"/>
              </w:rPr>
              <w:lastRenderedPageBreak/>
              <w:t>estos alzamientos tuvieron lugar bajo la inspiración del movimiento comunero peninsular y constituían una reacción contra el centralismo del virreinato del Perú, inicialmente y luego del de Buenos Aires, y en muchos casos han logrado el desplazamiento temporal de algunos gobernadores, quienes invariablemente eran repuestos con el tiempo.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También ha sido común la elección popular de gobernadores, desafiando la voluntad de la metrópoli en varias ocasiones, lo cual ha llevado a algunos a sostener que el Paraguay gozaba de autonomía para la designación de sus gobernantes durante la colonia. En realidad no se puede hablar de tal cosa, por lo menos desde el punto de vista jurídico. Quienes lo hacen sostienen tal afirmación en base a la Cédula Real de 1537, sin embargo esta disposición autorizaba a designar gobernador en forma excepcional y para una circunstancia específica, en caso de que don Pedro de Mendoza no hubiera designado lugarteniente3. A pesar de ello, esta norma fue interpretada de una manera extensiva y utilizada, con y sin éxito, a lo largo de la historia colonial del Paraguay.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obstante todo lo expuesto, no se puede afirmar que en el Paraguay de esa época existiese un pensamiento democrático y compartido por la clase dirigente, similar al que inspiró la independencia de los EE.UU. o la revolución francesa. Las aspiraciones libertarias eran más bien una reacción ante la opresión de la metrópoli y de las capitales virreinales, que gravaban con ruinosos impuestos el comercio de la provincia e imponían gobernadores impopulares y arbitrarios.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2.2.Las dictaduras personalistas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misma independencia del Paraguay se da en medio de ambigüedades y profundas diferencias entre la clase dirigente. Tras el golpe del 14 de mayo de 1811, que culmina con la deposición del gobernador Velazco al día siguiente, se evidenciaron de inmediato estas discrepancias. Las opiniones estaban divididas entre los independentistas y quienes simpatizaban con la Junta de Buenos Aires o posiciones monárquicas. Finalmente, el sector de la dirigencia que propugnaba la independencia tanto de España como de Buenos Aires terminó por imponerse en el Congreso del 17 de junio, pero eso no quiere decir que las ideas hayan estado claras desde el inicio.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vida independiente del Paraguay se caracteriza por gobiernos autoritarios y personalistas. El siglo XIX está dominado por las dictaduras de José Gaspar Rodríguez de Francia y de los López y el siglo XX por la de Alfredo Stroessner.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Francia llegó al poder en un principio con el título de dictador temporal (1814) y posteriormente en carácter de dictador perpetuo (1816), por decisión de sucesivos congresos que, fuertemente influenciados por la presión militar, terminaron concentrando en su persona todo el poder público. La larga dictadura de Francia sucedió a gobiernos colegiados, que él mismo había integrado y desde lo cuales fue cimentando su influencia, y se caracterizó por su carácter laico y la excesiva centralización. Todos los asuntos de gobierno eran decididos por el Dictador, por más mínimos que fueran. No había funcionarios gubernamentales u oficiales de las fuerzas públicas con rangos importantes. La clase dirigente que había impulsado la independencia fue alejada de las funciones de gobierno y la mayoría de los patriotas más connotados terminaron encarcelados y algunos inclusive fueron ejecutados, acusados de conspirar contra la vida de Francia4.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cuanto a política exterior, el Dictador cerró las fronteras aislando al país del resto del mundo, a los efectos de evitar el involucramiento del Paraguay en los frecuentes conflictos de la región y preservar su independencia. Efectivamente, hay que tener en cuenta que en esos tiempos la independencia del Paraguay no había sido reconocida por ninguno de los países limítrofes y Argentina aún lo consideraba una provincia rebelde. Las intenciones de someter al Paraguay fueron permanentes hasta que bajo el gobierno de Urquiza, Argentina reconoció finalmente la independencia del Paraguay en 1852.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comercio era mínimo y se reducía a aquellos productos en los que el país no era autosuficiente. La economía estaba meticulosamente planificada y casi todos los factores de producción eran propiedad del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libertades públicas fueron desconocidas en este periodo y no existían medios de prensa. La dictadura de Francia no contribuyó en absoluto a institucionalizar el país. Las voces que clamaban por una Constitución liberal fueron ignoradas o acalladas y el gobierno se ejerció durante décadas en base a los caprichos del Dictador y un escueto reglamento que había sido aprobado en el año 1813.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Tras la muerte de Francia y varios efímeros gobiernos provisorios, llega al poder Carlos Antonio López, primeramente en calidad de Cónsul (1841) y luego en calidad de Presidente, elegido en un Congreso en 1844 en el cual a su vez se aprobó la “Ley que establece la Administración política de la República del Paraguay, y demás que en ella se contiene”. Este instrumento normativo no puede considerarse propiamente una constitución5. Efectivamente no establecía limitaciones claras al ejercicio del poder dejando un amplio margen de discrecionalidad al Presidente y muy limitadas funciones a un incipiente Congreso. Se establecían igualmente órganos jurisdiccionales pero sin las debidas garantías de independencia. En términos formales se consagraba la división de poderes6 pero en la práctica la amplitud de funciones concedidas al Presidente le colocaba muy por encima de los </w:t>
            </w:r>
            <w:r w:rsidRPr="001B7F27">
              <w:rPr>
                <w:rFonts w:ascii="Arial" w:eastAsia="Times New Roman" w:hAnsi="Arial" w:cs="Arial"/>
                <w:color w:val="003399"/>
                <w:sz w:val="17"/>
                <w:szCs w:val="17"/>
                <w:lang w:eastAsia="es-AR"/>
              </w:rPr>
              <w:lastRenderedPageBreak/>
              <w:t>poderes legislativo y judicial. A este respecto Camacho sostiene que en el texto de la Ley “quedaba claro que el ejecutivo era poder “supremo”, pero también quedaba consagrada la división tripartita de poderes” 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Más allá del debate acerca de sus aciertos y falencias8 es innegable que esta Ley significaba un avance con relación a lo que se tenía y constituía un intento de institucionalizar el país. Al decir de Mendonça, “después de haber vivido durante años bajo el imperio de la voluntad exclusiva del dictador Francia, el Paraguay entraba en una etapa de institucionalización...” 9. Sin embargo no fue mucho lo que se avanzó en términos de libertades y garantías individuales. El gobierno siguió teniendo un fuerte carácter personalista y autoritario y los demás poderes públicos no tenían el suficiente vigor para ejercer un contrapeso real. El Congreso se reunía en forma esporádica y los jueces y tribunales estaban subordinados al Presidente.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otros campos sí se dieron cambios radicales. El gobierno de López abrió las fronteras al comercio e invirtió fuertemente en la industrialización del país. Durante esta época aparecieron además los primeros periódicos, si bien es cierto esto no significa que hay existido libertad de prensa o de expresión, ya que estos normalmente respondían al gobierno. Igualmente se impulsó la educación y se envió al exterior a jóvenes paraguayos para estudiar, becados por el gobierno.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la muerte de López fue reemplazado por su hijo, el general Francisco Solano López. Este hecho en sí demuestra que la voluntad de institucionalizar el país era relativa, López había preparado a su hijo para sucederlo desde muy joven y a la fecha ya había cumplido importantes misiones tanto en el país como en el exterior. Sin embargo, a la muerte de su padre, Francisco Solano aún no había cumplido la edad legal para acceder a la presidencia por lo cual el Congreso reunido el 16 de octubre de 1862, previamente modificó la Ley y de inmediato lo eligió presidente por el plazo de diez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Carlos Antonio López había manejado con sumo cuidado la política exterior del Paraguay, principalmente las diferencias limítrofes pendientes con Brasil y Argentina. En todo momento evitó llegar a confrontaciones y para ello postergó sucesivamente la definición de esos temas y se abstuvo de intervenir en los conflictos internos e internacionales de la región10. Francisco Solano varío sustancialmente esta posición de neutralidad y su intervención en el conflicto entre Uruguay y Brasil desencadenó la guerra con Brasil, Argentina y paradójicamente, con Uruguay.</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2.3. La Constitución de 1870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guerra que devastó al Paraguay y literalmente diezmó su población, significó el final de una época marcada por dictaduras personalistas. Al decir de Camacho, “se cerraba definitivamente una etapa donde, bajo la impronta del autoritarismo, se había logrado un apreciable crecimiento económico e intentado la difícil empresa del desarrollo autónomo” 11.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Antes de la finalización de la contienda, estando vivo aún el presidente López y resistiendo a las tropas aliadas, se constituyó en la ciudad de Asunción, entonces ocupada por estas, un gobierno provisorio que habría de tener a su cargo la difícil tarea de reconstruir un país que había sido arrasado por una contienda bélica absolutamente desigual. En el acta de constitución firmada el 15 de agosto de 1869 se registra el repudio del nuevo gobierno hacia el régimen anterior, cuando se expresa que “se reunió el Pueblo Paraguayo que representa al pueblo libertado de las garras del dictador Francisco S. López”12.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cinco de febrero de 1870, el gobierno provisorio emitió un decreto que establece una declaración de derechos y libertades sumamente completa para la época13. En abril de ese año se convocaron a elecciones para convencionales constituyentes, las cuales se realizaron el tres de julio, y entre el 15 de agosto y el 10 de diciembre sesionó la Convención Nacional Constituyente que habría de sancionar la Constitución de 1870.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Se ha discutido con intensidad la validez de esta norma fundamental por haber sido elaborada estando el país invadido por fuerzas extranjeras. Es evidente que la clase dirigente del país no era suficientemente autónoma en su accionar y el ejemplo más elocuente es que el primer Presidente provisorio elegido por la Convención Constituyente fue removido al día siguiente en el marco de un contragolpe que contaba con el apoyo de los comandantes de las tropas argentinas y brasileñas14.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es indudable su valor ya que significa una ruptura radical con los valores sostenidos por los gobiernos anteriores. Por primera vez se garantizaban, en el ordenamiento legal, libertades y derechos en el Paraguay. La Constitución del 70 además establecía el sistema de equilibrio de poderes, consagraba la independencia del Poder Judicial, garantizaba el principio de alternancia en el ejercicio de los cargos públicos y regulaba la responsabilidad de los funcionarios públicos, entre otros puntos.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Justo Prieto sostiene al respecto que “la Constitución de 1870 significa para el Paraguay la incorporación jurídica de las ideas liberales vigentes en el río de la Plata, así como su adhesión a los principios del constitucionalismo”15. En sentido similar, Mendonça afirma que ésta “adopta una forma republicana de Gobierno y, en consecuencia, sí constituye una república, por primera vez en nuestro país”16.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 xml:space="preserve">Sin embargo, la realidad de siglos de tradición autoritaria pudo más que las buenas intenciones de los ideólogos de la nueva constitución. Durante las décadas en que estuvo vigente (1870-1936 y 1938-1940)17, los años en libertad y democracia fueron los menos y los tiempos de anarquía e inestabilidad fueron la constante.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Efectivamente, la vigencia de las libertades de expresión y de prensa fue severamente restringida en periodos importantes durante estos años. Los derechos electorales eran relativos y si bien es cierto se fueron dando avances en las sucesivas reformas de la legislación electoral, las elecciones nunca fueron verdaderamente competitivas hasta nuestros días.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contexto, la inestabilidad era permanente y las luchas civiles y revueltas militares se sucedieron con bastante regularidad, los presidentes que lograron alcanzar la finalización de sus mandatos fueron los menos. Era una práctica común forzar la renuncia del Presidente a partir de presiones civiles y militares y la convalidación posterior de lo actuado por decisión del Congreso, que a su vez ponía en funciones al Vicepresidente. Si éste tampoco gozaba de la confianza de los golpistas, igualmente se procedía a “renunciarlo” y el Congreso designaba a un presidente para terminar el mandato constitucional. Fueron muy pocos los presidentes que lograron terminar sus mandatos.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Durante todos esos años, y hasta ahora, no se ha dado la alternancia en el gobierno en forma pacífica y por medio de elecciones. El partido Colorado perdió el poder en 1904 tras la victoria de una revolución liderada por los liberales. Estos a su vez perdieron el poder en 1940 cuando Higinio Morínigo llega al gobierno con el apoyo de los militares, tras la muerte del mariscal José Félix Estigarribia. Pero no solamente la presidencia estaba vedada a los partidos de la oposición durante esos años. Los escaños parlamentarios también eran monopolizados, o controlados en un amplio porcentaje por el partido de gobierno. El sistema electoral mayoritario, entonces vigente, que establecía la elección de parlamentarios en distritos uninominales, era un factor que favorecía este fenómeno pero la razón de mayor peso es que desde ese entonces se fabricaban mayorías electorales ficticias al amparo del apoyo del aparato estatal.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 importante destacar que hubo momentos en que se buscaron acuerdos para estabilizar el país y como consecuencia se ha logrado una integración razonable en el parlamento en periodos breves y específicos durante esos años. Inclusive en al año 1889 hubo una iniciativa para lograr un acuerdo que permita la elección de un presidente que tuviera el respaldo de los dos partidos principales. Esta propuesta fue discutida por los líderes de los partidos Liberal y Colorado sin que se llegue finalmente a un acuerdo18. También hay que resaltar que ha habido casos de participación de opositores en cargos ministeriales o magistraturas superiores e inclusive del Tribunal Superior (Corte Suprema de Justicia), pero en todos los casos hablamos de situación especiales.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importante mencionar igualmente las elecciones del año 1928 en las que por primera vez en la historia se presentaron candidatos de los partidos principales y al decir de Efraín Cardozo “por primera vez en el Paraguay ascendía al poder un presidente mediante el cotejo de fuerzas de los dos partidos tradicionales, no en el campo de batalla sino en los atrios comiciales”19. Obviamente no se puede sostener que estas elecciones fueron realmente competitivas20 como sostiene el historiador liberal citado, más bien deben entenderse como una intención de pacificar los ánimos por el lado del gobierno, y de ocupar espacios en el Congreso por el lado de la oposición. Estas elecciones además eran la culminación de un período excepcional en nuestra historia por su estabilidad y por la vigencia de libertades públicas, y que habría de ser interrumpido por la guerra del Chaco21.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obstante todos estos ejemplos, a los que hay que sumar también la tregua política de hecho entre los dos partidos principales durante la contienda chaqueña, no pueden entenderse como expresión de la voluntad de la clase dirigente del país ya que no se tradujeron en un proyecto de país ni en políticas de Estado específicas y mucho menos se mantuvieron en el tiempo. Son más bien reacciones concretas ante situaciones límites y que reflejan el interés de algunos, que terminaron siempre en minoría, de darle más estabilidad al funcionamiento de la República.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2.4. La Constitución de 1940, se inicia el regreso al autoritarismo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Más allá de todas estas consideraciones, la Constitución del 70 y el régimen político estaban fuertemente cuestionados y bajo el influjo de las ideas fascistas empezaba a gestarse una fuerte contestación al liberalismo. El éxito alcanzado durante la contienda del Chaco lejos de legitimar el sistema sirvió de catalizador para que diferentes fuerzas de distintas ideologías y objetivos dispares, se unieran al desencanto de los victoriosos ex combatientes, ahora desmovilizados y desempleados, y se logren las condiciones para el triunfo de la revolución de febrero del 36, que llevó al poder al héroe de la guerra, coronel Rafael Franco. Eusebio Ayala, presidente de la victoria, y el general Estigarribia, comandante de las fuerzas paraguayas durante la guerra, sufrieron la humillación de la prisión en principio y del exilio posteriormente22.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gobierno de Franco impulsó reformas sociales importantes, pero no tuvo mucho tiempo ya que a poco más de un año fue depuesto por un golpe militar que repuso a los liberales en el poder, y con esto, la Constitución del 70 volvió a entrar en vigencia. Sin embargo, el régimen estaba herido de muerte. La inestabilidad política y las tensiones sociales eran incontrolables y esto llevó a los liberales a postular al general Estigarribia para la presidencia, </w:t>
            </w:r>
            <w:r w:rsidRPr="001B7F27">
              <w:rPr>
                <w:rFonts w:ascii="Arial" w:eastAsia="Times New Roman" w:hAnsi="Arial" w:cs="Arial"/>
                <w:color w:val="003399"/>
                <w:sz w:val="17"/>
                <w:szCs w:val="17"/>
                <w:lang w:eastAsia="es-AR"/>
              </w:rPr>
              <w:lastRenderedPageBreak/>
              <w:t>confiando que su prestigio y condición de militar eran requisitos indispensables para imponer algo de orden en medio de tantas convulsiones.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Uno de los hechos más relevantes de la presidencia de Estigarribia es la redacción de una nueva constitución que habría de ser aprobada por un plebiscito el 4 de agosto de 1940 y jurada el 15 de agosto del mismo año. Previamente, el Congreso había resuelto autodisolverse para permitir el procedimiento de reforma constitucional. En pocas palabras, el partido Liberal había entendido que era necesario un gobierno fuerte y abdicaba de toda posibilidad de control parlamentario para permitir a Estigarribia constitucionalizar los poderes absolutos que ya había asumido.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relación a esta nueva carta fundamental se han mantenido posiciones extremas, desde quienes afirmaron que era una constitución “nazi-fascista” hasta quienes sostienen que solo pretendía superar las deficiencias de la anterior y que fueron las causantes de los males del país. Evidentemente la Constitución del 40 fue elaborada bajo el influjo de las críticas al Estado liberal provenientes de las doctrinas fascistas, sobre todo en lo que se refiere al orden como fin superior.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esto no nos puede llevar a afirmar que su texto se adscriba a esa corriente de pensamiento. Camacho afirma al respecto: “No puede asegurarse que la carta de 1940 sea “fascista”, en cuanto mantiene, bastante restringido, pero mantiene al fin, los principios de elegibilidad de la democracia representativa en función a los ciudadanos y no en cuanto pertenecientes a tal o cual colectivo económico, profesional, de la sociedad, etc. ... Nosotros la consideramos como una elaboración jurídica de acentuada inspiración autoritaria, pasada por el tamiz de la democracia republicana representativa”23.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importante destacar también que el proceso constituyente se realizó sin seguir los procedimientos que estaban consagrados en la Constitución de 1870 y que establecían la necesidad de convocar a una Convención Constituyente. Mendonça señala además una serie de disposiciones contenidas en la nueva Carta política que considera claramente una regresión al absolutismo: “La Carta eliminó la división legislativas en dos cámaras para crear una sola Cámara de Representantes, que el Presidente podía disolver en cualquier momento, con la sola obligación de convocar a elecciones dentro del plazo de dos meses, pero sin plazo alguno para la realización de las elecciones mismas; ... eliminó el juicio político al Presidente de la República; ... sometió a regulación legal la publicación de libros, folletos y periódicos; sometió a la fiscalización y reglamentación del Estado la organización, el funcionamiento y las actividades de las agrupaciones o entidades de carácter público; declaró que todas las libertades garantizadas por la Constitución son de carácter social y la posibilidad de su limitación por exigencias del orden público; consagró el destierro; entregó la declaración del estado de sitio exclusivamente al Presidente de la República, sin limitación alguna de libertades y garantías suspendidas y solamente con cargo de dar cuenta a la Cámara de Representantes ...”24.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Más allá de toda consideración, es evidente que el Paraguay se encontraba ante una involución. Los principios democráticos y los derechos y libertades nunca habían estado plenamente vigentes en el país, pero la Constitución de 1870 debería haber inspirado una evolución hacia un régimen verdaderamente democrático. Su derogación y la vigencia de una nueva Constitución de corte autoritario reflejaban el pensamiento y la voluntad de un momento histórico en que se gestaba claramente el regreso al pasado, a las dictaduras personalistas. La muerte de Estigarribia en un accidente de aviación, dio paso a la dictadura del general Higinio Morínigo, quien elegido presidente provisional por el Consejo de Ministros terminó gobernando hasta que en 1947 fue removido por un golpe militar.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régimen de Morínigo estuvo marcado por la persecución política y la proscripción de las libertades. Una sangrienta guerra civil enlutó al país en 1947 y se saldó con el triunfo del Gobierno contra las fuerzas rebeldes de los partidos de oposición. Las represalias fueron implacables y decenas de miles de ciudadanos tuvieron que emigrar, principalmente a la Argentina, para escapar de las persecuciones gubernamentales.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Tras la caída de Morínigo se sucedieron siete presidentes provisorios, casi todos permanecieron en sus cargos pocos meses hasta que cayeron víctimas de conspiraciones civiles o militares. En este contexto de anarquía, inestabilidad y ausencia de libertades básicas, que se sumaba a la endémica crisis económica y social, se gestaban los condiciones para la aparición de un liderazgo mesiánico que se presente ante el país como el único capaz de restablecer el orden.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3. La dictadura de Stroessner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Alfredo Stroessner, un militar mediocre, frecuentemente criticado por su cobardía al haber perdido armamento a su cargo durante la guerra del Chaco y por haber huido en la valijera del automóvil de un diplomático tras el fracaso de una intentona golpista de la cual formaba parte25, habría de beneficiarse de un contexto propicio para la emergencia de un gobierno autoritario, y gobernar despiadadamente el país durante los siguientes treinta y cinco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ese respecto, Paul H. Lewis resume con admirable precisión el ambiente de los años previos a la dictadura </w:t>
            </w:r>
            <w:r w:rsidRPr="001B7F27">
              <w:rPr>
                <w:rFonts w:ascii="Arial" w:eastAsia="Times New Roman" w:hAnsi="Arial" w:cs="Arial"/>
                <w:color w:val="003399"/>
                <w:sz w:val="17"/>
                <w:szCs w:val="17"/>
                <w:lang w:eastAsia="es-AR"/>
              </w:rPr>
              <w:lastRenderedPageBreak/>
              <w:t>stronista y las condiciones que la propiciaron. En ese sentido, apunta Lewis la existencia de ciertas “circunstancias físicas, culturales e históricas que hicieron posible el régimen de Stroessner. Primero, las tradiciones políticas de Paraguay, formadas por la geografía y por las experiencias del pasado, congenian con la dictadura. Stroessner probablemente nunca hubiera ascendido al poder, o si lo hubiera hecho no hubiera sobrevivido, en un país con tradiciones cívicas fuertes. Pero donde las masas son pobres e ignorantes, donde los valores sociales ven la política como una lucha por obtener los escasos recursos, como una lucha de todo o nada, y donde el ejército es, por costumbre, la fuerza gobernante por ser la única en imponer el orden, un gobierno como el de Stroessner no está fuera de lugar ... Es más, el triunfo de Stroessner no puede ser entendido sin hacer referencia a las sacudidas violentas del periodo posterior a la guerra del Chaco. Después de la segunda gran guerra sangrienta en su historia, la nación entró a un periodo de severa revolución, después, a un periodo igualmente duro de reacción, luego a una guerra civil, y finalmente, a una serie de gobiernos cínicos y violentos encabezados por políticos colorados ... Paraguay, en 1954, estaba exhausto. Cualquier hombre fuerte que pudiera imponer la paz y el orden, ...tendría la gratitud de un gran número de personas, para quienes la democracia era una idea ajena...”26.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Milda Rivarola afirma en su trabajo de 1993, haciendo referencia a la contestación al régimen liberal que tiene sus inicios en las décadas del 20 y del 30, que “Somos aún tributarios de una peculiar “revolución” nacionalista anti-parlamentaria, autoritaria y militarista, que a lo largo de un cuarto de siglo fue transformando un Estado y una Sociedad de tradiciones y valores diferentes. La opción de categorizar como “fascista” dicha revolución –muchos definieron así los gobiernos de esos años- es tentadora”27.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 leer los conceptos de Lewis y Rivarola, resalta la persistencia de las condiciones que propiciaron la dictadura y la vigencia de esos valores culturales autoritarios que vienen de una historia política que hasta la fecha no conoce la alternancia pacífica en el poder. Más de una década de libertades no han logrado desmantelar la herencia de una larga y sanguinaria dictadura, cuyas consecuencias se proyectan en el presente y amenazan el futuro de una frágil democracia.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la dictadura de Stroessner no puede explicarse solamente por un contexto favorable. La habilidad del general de revertir una situación de anarquía e inestabilidad crónicas es un factor relevante en el proceso de afianzamiento del régimen y su permanencia en el poder por más de tres décadas es la mejor evidencia.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primer paso fue evidentemente el control absoluto de las Fuerzas Armadas. Stroessner tuvo la capacidad de disciplinar a los militares y someterles a una férrea y vertical cadena de mandos que dependía directamente de él. Luego de una historia reciente caracterizada por frecuentes revueltas militares, la tarea no debe de haber sido fácil y fue la consecuencia de un trabajo meticuloso y persistente de promoción de oficiales afines, proscripción de los críticos y adoctrinamiento de los jóvenes.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Pero esto no era suficiente para garantizar la estabilidad, Stroessner fue más allá que otros caudillos militares y se apoyó en uno de los partidos tradicionales. Desde el poder inició un intensa tarea hacia el interior del partido Colorado a los efectos de lograr su control absoluto y sobre todo una estricta adhesión a su persona. De esta manera, Stroessner no era solamente un jefe militar sostenido en el poder por los militares, se había convertido además en el líder indiscutido de uno de los partidos tradicionales del país con lo cual su base política se acrecentaba notablemente. Además, el Dictador inició de inmediato un proceso de reorganización y crecimiento del partido Colorado con todo el apoyo de la infraestructura y recursos estatales, lo que permitió al partido de gobierno distanciarse notablemente en cuanto a inserción y recursos económicos y materiales de todas las demás fuerzas políticas, que de hecho estaban o proscritas o limitadas fuertemente en cuanto a sus posibilidades de acción.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Para terminar de cerrar el círculo, la administración pública y las Fuerzas Armadas fueron partidizadas. El ingreso a un cargo público o a la carrera militar estaba subordinado a la pertenencia al partido Colorado, una de las exigencias era demostrar con el “carnet partidario” la afiliación a la ANR (partido Colorado) y por supuesto, para promociones o cargos importantes, el padrinazgo de algún caudillo o de un jefe militar era fundamental. La estrecha relación partido-gobierno, que se exacerba hasta límites nunca vistos durante el stronismo, es un dato fundamental para entender las causas que favorecieron la permanencia de Stroessner por tanto tiempo. Efectivamente, al decir de Lewis “en un país donde las oportunidades económicas eran tan limitadas, un trabajo en el gobierno era una fuente de ingreso bastante deseada”28.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utilización de los cargos públicos era una forma efectiva de comprar conciencias y con estos tratos no solamente se consolidaba el partido Colorado sino además se lograban relaciones de clientelismo entre los beneficiados con alguna posición en la administración y sus padrinos militares o civiles, y, entre éstos últimos y el propio Dictador.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Otro elemento relevante para la consolidación del sistema fue la institucionalización de la corrupción. Además de los privilegios propios del acceso a puestos de trabajo, Stroessner controlaba que los beneficios de la corrupción lleguen a las personas indicadas, de esta manera se constituyó en otro de los elementos fundamentales para comprar lealtades, inclusive de antiguos rivales. Los “negocios” más importantes y rentables por supuesto quedaban en manos de los principales jefes militares y partidarios, pero además estos debían repartir “equitativamente” los privilegios entre sus subalternos.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Martini y Yore se explayan al respecto en su libro “La corrupción como mecanismo de reproducción del sistema político paraguayo” y concluyen que el poder personalizado y autocrático de Stroessner “fue sustentado en una estructura de dominación jerárquica, vertical y de indiscutible obediencia a su autoridad, basada en una trilogía de connotación fascista y mesiánica por la identificación entre el gobierno, el partido oficial y las fuerzas armadas. El ejército prestará la garantía de la coacción física legal y el partido su capacidad de legitimación política y consenso social ... A este efecto, ambos sectores, partido y ejército, sufrirán un proceso de permanente recomposición interna; serán depurados y reorganizados varias veces, por diversos mecanismos de sometimiento (entre ellos la corrupción prebendaria y los privilegios) en torno al liderazgo único e indiscutido de Stroessner quien oficiará de eje articulador del triángulo en su triple condición de Jefe de Estado, miembro titular y luego Presidente Honorario del Partido Colorado y Comandante en Jefe de las FF.AA.”29.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sometimiento del partido y del ejército y la consolidación de un indiscutible liderazgo personal permitieron a Stroessner gobernar durante tanto tiempo. La corrupción amparada por el propio Dictador se convirtió en uno de los ejes centrales del sistema mismo, ya que no solamente era sostenida desde el poder sino sobre todo, contribuía a sostener al gobernante.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Otro factor esencial para la permanencia de Stroessner fue la utilización indiscriminada de la violencia para evitar toda posibilidad de disenso. Los partidos políticos opositores fueron generalmente proscritos o eran brutalmente reprimidos cuando pretendían organizarse o activar en política, miles de opositores fueron asesinados por razones políticas y la tortura y la desaparición de ciudadanos eran una práctica corriente. La libertad de expresión no era tolerada y los medios de prensa que publicaban opiniones contrarias a la dictadura eran clausurados. Durante los últimos años de Stroessner, las presiones internacionales y el control de organizaciones de derechos humanos permitió que la represión disminuya. No obstante, no desaparecieron las prácticas mencionadas ni mucho menos se logró una apertura en cuanto a libertades y derechos políticos.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indiferencia internacional y en algunos casos el desconocimiento de lo que estaba ocurriendo en el Paraguay significó una ventaja adicional para Stroessner y la consolidación del sistema. En el contexto de la guerra fría interesaba a EE.UU. tener a un aliado anticomunista gobernando el país, y esto fue aprovechado por el dictador que frecuentemente afirmaba que Paraguay era una democracia “sin comunismo”. Varios funcionarios cercanos a Stroessner pertenecían al Grupo de Acción Anticomunista (GAA) y los sectores más perseguidos por el régimen fueron los movimientos de izquierda y el partido Comunista. Las dictaduras militares en Chile, Brasil, Uruguay y la Argentina, dieron a Stroessner en los años setenta y principios de los ochenta un respiro importante con una marco internacional más que favorable. La represión inclusive se institucionalizó internacionalmente con el operativo Cóndor, que consistía en la cooperación entre los servicios de inteligencia de estas dictaduras militares para operaciones conjuntas, intercambio de informaciones e inclusive para detenciones ilegales, desapariciones y ejecuciones de políticos opositores30. El contexto internacional empezó a variar con el gobierno de Carter en los EE.UU. y su política a favor de los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Finalmente, es importante señalar el auge económico que significó la construcción de dos grandes represas hidroeléctricas en Paraguay, Itaipú y Yacyretá, en sociedad con Brasil y Argentina respectivamente. El ingreso de divisas y las posibilidades laborales dinamizaron como nunca nuestra economía y se alcanzó niveles de prosperidad que no se habían visto en las últimas décadas. El impacto de estos emprendimientos binacionales ha sido trascendental en la vida del país. Paul Lewis destaca el carácter modesto de la vida en la capital del país en los años en que Stroessner accede al poder31, sin embargo el crecimiento económico alcanzado en las décadas de los sesenta y setenta, con tasas promedio de 3,5 y 8,5% respectivamente32, literalmente cambió la fisonomía del país con la multiplicación de sus rutas, expansión de los servicios públicos y el nacimiento de grandes fortunas, la mayoría de ellas al amparo de la corrupción gubernamental.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punto es necesario hacer una breve referencia a la Constitución de 1967. La misma fue elaborada en una Convención Nacional en la que inclusive participaron partidos de oposición, convencidos hábilmente por Stroessner de que se iniciaba un proceso de apertura política. En términos teóricos se puede destacar como aspecto positivo que en su texto se consagran los principios básicos del constitucionalismo. Sostiene Mendonça que “la nueva constitución corrigió defectos de la Carta de 1940 y formalmente significó un retorno a importantes ideas liberales, si bien mantuvo la preeminencia del Poder Ejecutivo sobre los otros poderes del Estado, conservando el dejo totalitario de la Carta de 1940”33. En coincidencia con lo anterior, Camacho afirma que “la Constitución de 1967 representa ... una recuperación de cara a la más autoritaria del 40, pero aún así es claramente partidaria del Ejecutivo fuerte..., que prima de manera ostensible por encima de los demás poderes”34. Sin embargo, toda valoración jurídica que se pueda hacer a su texto es intrascendente porque no fue respetado durante toda su vigencia, salvo los primeros años de la transición, anteriores a la Constitución de 1992.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finales de los ochenta, el stronismo era un sistema en crisis. Factores internos fundamentalmente y externos, contribuyeron a la descomposición del régimen y sentaron las condiciones para su caída. Internamente, las diferencias en el partido Colorado entre los más leales al Dictador y quienes mantenían una posición más cercana a la limitada institucionalidad partidaria, en torno fundamentalmente a cuestiones relacionadas con la sucesión, terminaron con la división del partido Colorado cuando los últimos fueron desplazados por la fuerza de la conducción política en una Convención en 1987. A esto hay que sumar la creciente organización de la oposición que cada vez </w:t>
            </w:r>
            <w:r w:rsidRPr="001B7F27">
              <w:rPr>
                <w:rFonts w:ascii="Arial" w:eastAsia="Times New Roman" w:hAnsi="Arial" w:cs="Arial"/>
                <w:color w:val="003399"/>
                <w:sz w:val="17"/>
                <w:szCs w:val="17"/>
                <w:lang w:eastAsia="es-AR"/>
              </w:rPr>
              <w:lastRenderedPageBreak/>
              <w:t>con mayor frecuencia desafiaba al régimen con movilizaciones de protestas y actos en todo el país, que casi siempre terminaban brutalmente reprimidos. La prensa además, adquiría un mayor protagonismo y a pesar de la censura y de las presiones, e inclusive de la constante detención de periodistas y clausura de medios, denunciaba con mayor intensidad a la dictadura.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el plano internacional, el distanciamiento del gobierno de los EE.UU. era un factor de peso al igual que el creciente interés de las organizaciones internacionales de derechos humanos sobre la situación en Paraguay. En 1987, Virginia Bouvier, del Washington Office on Latin América, publicaba en Paraguay un libro con un sugestivo título: “El ocaso de un sistema”, en el cual se denuncian las prácticas dictatoriales de Stroessner, las violaciones a los derechos humanos, la crisis interna del régimen y el distanciamiento de los EE.UU.35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fue la división interna en el partido Colorado, que se trasladó a las propias Fuerzas Armadas, el factor detonante del golpe militar que derrocó la dictadura de Stroessner en 1989. Obviamente la comunidad internacional estaba en conocimiento y respaldaba los planes, y esto se evidencia por el inmediato reconocimiento que recibió el gobierno instalado en forma provisoria.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4. La herencia de Stroessner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Al tiempo de la caída de Stroessner, paradójicamente, su régimen político estaba fuertemente afianzado. Las fuerzas armadas y la administración pública estaban partidizadas, el prebendarismo y la corrupción formaban parte integrante del sistema, se había consolidado una cultura autoritaria, la sociedad en general estaba desorganizada y desmovilizada y los partidos políticos de oposición no tenían la fortaleza suficiente para enfrentar al coloradismo36.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Por ello la caída de Stroessner no debe entenderse como la finalización de un sistema. De hecho han habido cambios sustanciales, pero persisten prácticas que nos vienen de la dictadura y sobre todo, se mantienen prácticamente intactas las bases en las que se sustenta el poder del partido Colorado, principalmente la relación Estado-partido y la corrupción como fuente de financiamiento.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Otro de los legados de esta larga dictadura es la crisis económica que hasta hoy padecemos. El extraordinario crecimiento económico de los años 60 y 70 se estancó en los ochenta a un promedio del 2%, por debajo de la línea del crecimiento poblacional, y hasta nuestros días no existen signos de recuperación. Borda37 resume las distintas posiciones existentes con relación a las razones del estancamiento dividiéndolas en dos corrientes de opinión: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primer lugar, algunos sostienen que el auge económico del Paraguay se debe fundamentalmente a la construcción de la represa de Itaipú y los buenos precios internacionales de la soja y el algodón (principales productos paraguayos de exportación), factores que favorecieron la industria de la construcción, la agro exportación y al transporte, que fueron los sectores responsables del crecimiento económico. Quienes defienden estas posiciones explican el estancamiento económico debido a la finalización de la represa y la caída de los precios de esos productos. Por otro lado, otro grupo de autores argumentan que la crisis económica se debe fundamentalmente a políticas públicas equivocadas y fundamentalmente a que el gobierno mantuvo un tipo de cambio subvaluado, restricciones crediticias para el sector privado, falta de control del contrabando y otras formas de corrupción. Finalmente, concluye Borda, que ambos factores han tenido incidencia pero que otros factores también son relevantes, fundamentalmente los que hacen referencia a la falta de acumulación en el sector campesino que tuvo consecuencias muy negativas en la producción agrícola principalmente, y no solamente hacia finales de la dictadura sino que inclusive proyectan sus consecuencias hasta nuestros días.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Lo anteriormente expuesto se traduce en niveles de inequidad que han ido en aumento, deficiencias graves en salud pública y vivienda, altos índices de analfabetismo, baja cobertura de servicios básicos (sobre todo agua potable y telefonía) y serias falencias en el sistema educativo y en las universidades.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contexto Paraguay se preparaba para enfrentar los desafíos de una transición. Las dificultades económicas y sociales reclamaban grandes acuerdos nacionales que permitan consensuar e implementar políticas de Estado sobre los principales problemas y desafíos del país, entre ellos, el del proceso de integración regional que ya se perfilaba en el 89. Sin embargo, el principal propósito del flamante presidente Rodríguez fue consolidarse con el apoyo de un partido colorado unido, y purgado de sectores stronistas; y la oposición no tuvo mayor capacidad de presión para exigir una transición acordada. El proceso democratizador se desarrolló en consecuencia desde arriba, bajo la tutela de los generales y del partido Colorado, y por consiguiente los cambios fueron limitados y el esquema de poder se mantuvo en lo esencial.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5.Una transición inconclusa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5.1. Fortalecimiento de la democracia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Durante estos trece años han habido transformaciones importantes que han significado avances y retrocesos. </w:t>
            </w:r>
            <w:r w:rsidRPr="001B7F27">
              <w:rPr>
                <w:rFonts w:ascii="Arial" w:eastAsia="Times New Roman" w:hAnsi="Arial" w:cs="Arial"/>
                <w:color w:val="003399"/>
                <w:sz w:val="17"/>
                <w:szCs w:val="17"/>
                <w:lang w:eastAsia="es-AR"/>
              </w:rPr>
              <w:lastRenderedPageBreak/>
              <w:t xml:space="preserve">Fundamentalmente hemos avanzado en el campo de las libertades y en la consolidación de la democracia.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 dato de por sí resaltante e históricamente inédito es que exista un período de tiempo que abarca más de una década de vigencia de derechos y garantías. En el pasado, no ha habido situaciones similares y de hecho, a lo que más se ha llegado es a períodos de estabilidad y vigencia limitada de libertades. Lo derechos políticos y electorales siempre estuvieron restringidos a la oposición y las mayorías en todos los casos fueron en gran medida sostenidas desde el poder.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año 1991, en las elecciones municipales, por primera vez en la historia, la oposición triunfó en varias ciudades del país, entre ellas la capital de la República y otras capitales departamentales y ciudades importantes como Cnel. Oviedo, Pedro Juan Caballero, Lambaré y San Lorenzo, entre otras. Si bien los fraudes electorales fueron la constante, y seguirían siendo por varios años más, el hecho de que el partido de gobierno respete resultados electorales adversos y entregue el gobierno de varias municipalidades importantes parecía indicar que la voluntad de democratizar el país era firme.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Constitución de 1992 también fue un paso importante en el camino de la consolidación de las instituciones democráticas. La misma sentó las bases para las transformaciones que se produjeron en los años siguientes y que tuvieron como consecuencia el afianzamiento del Estado de derecho y la vigencia de las libertades públicas. Como sostiene Mendonça: “Muchas e importantes fueron las modificaciones e innovaciones que trajo la Constitución, que redujo sustancialmente la fuerza del Poder Ejecutivo y aumentó considerablemente la de los poderes Legislativo y Judicial; especialmente del primero de ellos. Posiblemente como consecuencia de la larga experiencia totalitaria de la cual se quería salir”38.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Las innovaciones incorporadas en la nueva Constitución parten desde las definiciones fundamentales y marcan diferencias radicales con sus antecesoras. El Art. 1º que establece la forma de Estado y de gobierno, prescribe que el Paraguay “se constituye en Estado social de derecho, unitario, indivisible, y descentralizado”. Las función social elevada a rango constitucional y el carácter descentralizado del Estado, constituyen conceptos novedosos y ajenos a las constituciones paraguayas anteriores.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Además, el proceso mismo de su elaboración se dio en un marco de libertad sin precedentes en la historia política del Paraguay. Efectivamente: “La carta de 1940 fue parida por un Decreto y el pueblo y los partidos políticos no participaron en la misma, no hubo ni remotamente algo parecido a una Convención Nacional. Fue, casi en el sentido estricto de la palabra una Carta política concedida por un autócrata. La de 1870 fue impuesta por encima de un Paraguay masacrado, destruido, con una mínima participación popular. No fue fruto de una reivindicación ciudadana o de su movilización. La hicieron los exiliados que volvieron con las fuerzas invasoras, las sesiones de la Convención tuvieron lugar en un Paraguay militarmente ocupado, volviéndose imposible una efectiva participación ciudadana.. La dictadura más férrea... produjo la Constitución de 1967”39. En este contexto es innegable que la legitimidad de la Constitución de 1992 es muy superior a sus antecesoras. Su redacción se enmarcó estrictamente en el procedimiento constitucional vigente, la participación de las diversas fuerzas políticas fue libre, el debate ciudadano fue intenso y las presiones desde el poder, mínimas y sobre temas específicos, no tuvieron ningún efecto. Prueba de ello es que la nueva Constitución, para disgusto del general Rodríguez, cerró las puertas al entonces presidente para su eventual reelección.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Uno de los puntos más resaltantes de la nueva constitución es sin dudas el fortalecimiento del Poder Legislativo. Se consagró el sistema de representación proporcional con lo que se logró un Parlamento representativo y pluralista, en contraste con el de la dictadura que garantizaba una representación de las dos terceras partes de sus miembros para el partido de gobierno. Se suprimió la cláusula que permitía al Presidente la disolución del Congreso y se disminuyó la mayoría requerida para el rechazo del veto del Poder Ejecutivo de las dos terceras partes a la mayoría absoluta de votos. Se establecieron nuevas competencias en materia de control al Poder Ejecutivo y una participación más activa en la designación de importantes funcionarios del Estado, antes reservada casi con exclusividad a la jefatura de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la creación del Consejo de la Magistratura se ha dado un paso muy importante en favor de la independencia del Poder Judicial al establecer un procedimiento de selección de magistrados que se orienta a limitar las influencias político-partidarias y sobre todo la participación del Poder Ejecutivo. El control de la actuación de los magistrados fue incrementado con un Jurado de Enjuiciamiento, con amplias facultades para evaluar la conducta de los jueces y fiscales. La conformación de ambos órganos es plural, e incluye miembros designados por los distintos poderes del Estado. El Consejo está conformado por un miembro nombrado por la Corte Suprema de Justicia, uno por el Poder Ejecutivo, uno por cada una de las cámaras del Congreso, dos profesores de las facultades de derecho (uno por las públicas y otro por las privadas) y dos abogados, elegidos por sus pares40. El Jurado por su parte está integrado por dos ministros de la Corte Suprema de Justicia, dos senadores, dos diputados y dos miembros del Consejo de la Magistratura41.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Con la Constitución del 92 se posibilitaron profundas reformas en el sistema electoral. Se suprimió el organismo administrativo que fiscalizaba las elecciones en tiempos de la dictadura y que en su conformación garantizaba al partido de gobierno una mayoría de las dos terceras partes de sus miembros y fue reemplazado por un fuero </w:t>
            </w:r>
            <w:r w:rsidRPr="001B7F27">
              <w:rPr>
                <w:rFonts w:ascii="Arial" w:eastAsia="Times New Roman" w:hAnsi="Arial" w:cs="Arial"/>
                <w:color w:val="003399"/>
                <w:sz w:val="17"/>
                <w:szCs w:val="17"/>
                <w:lang w:eastAsia="es-AR"/>
              </w:rPr>
              <w:lastRenderedPageBreak/>
              <w:t>electoral que integra el Poder Judicial. Una vez designadas las autoridades de la Justicia Electoral y con la vigencia de las nuevas leyes electorales se procedió a la depuración de los padrones42 y a la capacitación de los nuevos funcionarios de la administración electoral. Los avances fueron sumamente importantes. Las elecciones municipales del año 96 y las generales del 98, fueron elogiadas nacional e internacionalmente por su corrección.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Además de los avances en lo referente a la independencia del Poder Judicial, se confirieron mayores facultades a la Fiscalía General del Estado, se creó la Procuraduría General de la República y se incluyó en la Constitución la figura de la Contraloría General de la República. El Ministerio Público adquirió inclusive mayor preponderancia con la aprobación posterior del nuevo código procesal penal, que traslada todas las funciones investigativas y el impulso del proceso a los fiscales. El sistema de juicios orales permitió además dotar de mayor transparencia a los procesos penales y sobre todo, de mayor celeridad.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Uno de los hechos más importantes para la consolidación de la democracia fue la subordinación militar al poder civil. Los intentos de involucrar a militares en la vida política han fracasado en estos años. Son conocidos el levantamiento militar del ex general Lino Oviedo en el año 96, la crisis de marzo de 1999 y el golpe de mayo de 2000. En estos momentos cruciales para nuestra vida democrática, la mayoría de los oficiales de las fuerzas armadas han reafirmado su subordinación al poder civil y su respeto a la Constitución. En los últimos meses, ha surgido nuevamente en forma recurrente la preocupación ante signos de malestar militar. Efectivamente, la situación de las FF.AA. es sumamente delicada desde el punto de vista presupuestario. Un 94% del presupuesto del 2001 se destinó a gastos corrientes, de los cuales el 83% corresponde a servicios personales y solo el 0,53% a inversiones físicas43. En estas condiciones el gasto se destina fundamentalmente al personal y la innovación tecnológica e inversión en material bélico es prácticamente nula. El Paraguay tiene unas FF.AA. que le cuestan mucho dinero al país y que no representan una utilidad específica. Por consiguiente, no solamente los militares están descontentos, sobre todo existen permanentes reclamos para suprimir el gasto militar y destinar esos recursos a otros rubros prioritarios, fundamentalmente en los social. El malestar también se ha centrado en los niveles salariales y en las investigaciones sobre la utilización del presupuesto, que han hecho públicos casos de corrupción que están siendo investigados. El más grave es sin duda el pago a miles de soldados cuya existencia no se ha demostrado, y que motivó que el Parlamento disponga una reducción sustancial del presupuesto previsto para ese rubro.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obstante todo lo expresado, no existen señales que indiquen que las FF.AA. sean un factor político en el futuro. Sin embargo, si la situación de miseria y pobreza se agrava y se producen convulsiones fuertes en el país tampoco se puede descartar del todo una intervención militar.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5.2.Persistencia de las prácticas heredadas de la dictadura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No obstante, estos avances no han sido suficientes para erradicar viejas prácticas y vicios políticos, heredados de las sucesivas dictaduras y practicados o tolerados por los gobernantes de la transición, que distorsionan los valores democráticos y las posibilidades reales de profundizar las reformas democráticas que hemos logrado.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 pesar de la importancia que se le ha dado a los organismos de control de la administración pública y a la independencia del Poder Judicial, la corrupción sigue siendo un problema grave en nuestro país. La falta de transparencia en la financiación de las campañas políticas crea un estrecho vínculo entre la defraudación al Estado y los aportes multimillonarios a las campañas electorales del partido de gobierno. En estas condiciones, el apoyo de las empresas que contratan con la administración pública, lejos de ser un aporte se convierte en una inversión que reditúa beneficios muy superiores a los que corresponden y que les permite sostener financieramente proyectos políticos afines. En contrapartida, los partidos de oposición, difícilmente pueden recaudar sumas similares a las que proceden de negocios ilegales y por consiguiente existe siempre una desventaja importante de recursos financieros a favor del partido de gobierno, lo cual impide totalmente que pueda existir igualdad de oportunidades. El problema es sumamente grave porque al dinero proveniente de negocios con el Estado se suma en algunos casos el de las actividades delictivas fronterizas vinculadas al tráfico de estupefacientes, de armas, y a la falsificación. Esta situación alarma, fundamentalmente si analizamos la experiencia de países como Colombia.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utilización de los bienes del Estado por parte del partido de gobierno también es una práctica que no se ha podido erradicar. Esto se suma al clientelismo y prebendarismo que tiene a la función pública como eje principal e impide la profesionalización de los funcionarios estatales y es una de las causas del excesivo porcentaje del presupuesto que se destina a gastos corrientes.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Los puntos anteriores señalan con claridad que a pesar de los importantes avances logrados en lo referente a la consolidación de las instituciones democráticas, aún no se puede hablar de una real posibilidad del ciudadano de elegir porque no existe una verdadera igualdad de posibilidades entre las distintas fuerzas políticas44.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5.3. El fracaso en lo económico y social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gran fracaso de estos diez años de transición se da sin lugar a dudas en lo económico y social. La falta de una política económica gubernamental orientada a fomentar y apoyar al sector productivo ha tenido como consecuencia una disminución drástica de la producción de importantes rubros agrícolas. El caso más dramático es el del algodón, </w:t>
            </w:r>
            <w:r w:rsidRPr="001B7F27">
              <w:rPr>
                <w:rFonts w:ascii="Arial" w:eastAsia="Times New Roman" w:hAnsi="Arial" w:cs="Arial"/>
                <w:color w:val="003399"/>
                <w:sz w:val="17"/>
                <w:szCs w:val="17"/>
                <w:lang w:eastAsia="es-AR"/>
              </w:rPr>
              <w:lastRenderedPageBreak/>
              <w:t>que ha sido por décadas uno de los principales productos de exportación y la fuente principal de ingresos de cientos de miles de familias campesinas, que han emigrado masivamente a las principales ciudades para ganarse la vida con actividades informales, formando cinturones marginales en barrios periféricos.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falta de incentivos al sector industrial, la carencia de líneas de crédito con tasas y plazos adecuados para inversiones de capital y una política cambiaria que por años ha mantenido la cotización de nuestra moneda a niveles inferiores de los reales, restando competitividad para las exportaciones de productos nacionales, ha tenido como consecuencia que hoy las industrias de nuestro país estén paradas o funcionando muy por debajo de sus posibilidades.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Una profunda crisis financiera, a partir del año 95, prácticamente ha llevado a la quiebra a casi todos los bancos de capital nacional y ha significado pérdidas multimillonarias de ahorros, que de acuerdo a las leyes vigentes han sido reembolsados parcialmente por el Estado.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Todo esto ha acentuado el desempleo, la pobreza y la miseria. Entre el desempleo abierto y el subempleo, se suma una tasa de alrededor del 30% de la población económicamente activa45, según los datos (año 2000) de la Dirección General de Estadísticas Encuestas y Censos (DGEEC). Además, los niveles de inequidad son verdaderamente alarmantes, el 10% más rico de la población se lleva el 39% de los ingresos, mientras que el 10% más pobre se queda con el 0,7%. Según datos tomados entre los años 97 y 98 por la DGEEC, el 32% de la población vive por debajo de la línea de pobreza y el 17%, por debajo de la línea de extrema pobreza46. Según los datos del censo agropecuario de 1991, los niveles de concentración de la tierra son extraordinarios. El 1,1% de los establecimientos (de más de mil hectáreas cada uno) concentra el 77,1% de la superficie explotada, mientras que al 93,4% de los establecimientos (de menos de cincuenta hectáreas) le queda solamente el 9,8%47.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lo social, no existen respuestas, el 64,18 de los hogares del país tiene al menos una necesidad básica insatisfecha (NBI)48. Tenemos un sistema de salud que tiene una cobertura mínima y no es gratuito, ni siquiera para las personas indigentes. Si bien es cierto, en los últimas décadas se redujo la tasa de mortalidad infantil y aumentó la de expectativa de vida, el 73,8% de la población no posee seguro médico y solamente el 16% de la población se beneficia del sistema de seguridad social público (Instituto de Previsión Social), el restante 9,6% está cubierto por seguros privados49.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educación pública, primaria y secundaria, tiene serios problemas de cobertura, equidad, infraestructura, capacitación de recursos humanos y por consiguiente de calidad de la enseñanza. Normalmente se enfatiza el sustancial aumento del presupuesto durante estos años, sin embargo casi el 95% del presupuesto del Ministerio de Educación y Culto se gasta en sueldos y gastos corrientes50. El índice de deserción escolar llega al 25% y el de repitencia en las escuelas públicas al 8,8%, en contraste con el 1,1% de las escuelas privadas51. La reforma universitaria ha sido un aspecto completamente olvidado en estos años de democracia, lo cual demuestra de por sí la mediocridad de la transición y de sus dirigentes52.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problema de la vivienda es sumamente grave, los niveles de hacinamiento en las ciudades más importantes son alarmantes. De acuerdo a datos del Censo del 92 y de la Encuesta de Hogares de 1995, tenemos un 38,2% (1992) y 31,4% (1995) de viviendas deficitarias por hacinamiento y un 33,1% (1992) y 27,3% (1995) de viviendas deficitarias por materiales o tipologías inadecuadas. En consecuencia, entre un 27 y 38% de las viviendas del país requieren sustitución o mejoras sustanciales53. La carencia de servicios básicos afecta a un alto porcentaje de la población, solo el 25,4% de los hogares pobres cuentan con servicio de agua potable, el 74,6% restante se provee de fuentes inapropiadas54. El servicio público de telefonía, hoy en proceso de privatización, tiene tan baja cobertura que es superada ampliamente por las empresas privadas de telefonía celular.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el campo, el fracaso de la agricultura, sumado a los problemas de inequidad en la distribución de tierras, ha acrecentado las necesidades y los niveles de pobreza generando frecuentes conflictos sociales. Son constantes las invasiones de tierras y los enfrentamientos entre hacendados y campesinos. Los sucesivos gobiernos no han prestado la debida atención al sector campesino y las consecuencias están a la vista.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necesidad de la reforma del Estado ha sido frecuentemente enunciada tanto por la oposición como por el gobierno, sin embargo los pasos en esa dirección han sido escasos y en la mayoría de los casos poco sinceros. La Ley 1615 promulgada en octubre de 2000, concede amplias facultades al Poder Ejecutivo para la “reorganización y transformación” de la administración central y de las entidades descentralizadas. Sin embargo, en la práctica el proceso de reforma se ha limitado a la intención de privatizar Copaco55 y Corposana, las compañías estatales de telefonía y agua potable respectivamente. El proceso de venta de Copaco se encuentra a la fecha en su etapa final, pero con serias denuncias de irregularidades, hechos de corrupción y transgresiones a disposiciones de la Ley 1615. Muchos consideran, que lejos de formar parte de un proceso de reforma estatal, persigue únicamente el objetivo de obtener recursos para cubrir con ellos el abultado déficit del presupuesto público.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este contexto, no debe extrañar a nadie que durante el transcurso de estos trece años de democracia haya ido creciendo el desaliento y la decepción. El fracaso de los sucesivos gobiernos en lo económico y social ha tenido como consecuencia que una parte importante de la población haya dejado de creer en la democracia como sistema </w:t>
            </w:r>
            <w:r w:rsidRPr="001B7F27">
              <w:rPr>
                <w:rFonts w:ascii="Arial" w:eastAsia="Times New Roman" w:hAnsi="Arial" w:cs="Arial"/>
                <w:color w:val="003399"/>
                <w:sz w:val="17"/>
                <w:szCs w:val="17"/>
                <w:lang w:eastAsia="es-AR"/>
              </w:rPr>
              <w:lastRenderedPageBreak/>
              <w:t xml:space="preserve">político.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6.Signos claros de involución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Gran parte de las reformas fueron logradas mediante dos hechos fundamentales. En primer término, la promulgación de la Constitución del 92, que con sus luces y sus sombras significa un avance institucional importantísimo y sentó las bases para las transformaciones posteriores; y en segundo lugar, las elecciones de 1993, en las que si bien el partido Colorado mantuvo el poder, la oposición en su conjunto alcanzó la mayoría en ambas cámaras del Poder Legislativo.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mayoría parlamentaria fue fundamental para implementar los avances logrados en la Constitución del 92. La reforma del Poder Judicial, la integración de la Justicia Electoral, la depuración de los padrones electorales y las sucesivas reformas electorales, fueron posibles gracias a esta correlación de fuerzas favorable a la oposición y por supuesto, a la voluntad reformista de un sector minoritario del partido Colorado.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Efectivamente, las reformas legales necesarias para implementar las nuevas instituciones previstas en la Constitución, hubieran sido impensables sin una clara mayoría reformista en el Congreso. Además, esta permitió que exista un equilibrio en el Consejo de la Magistratura, conformado parcialmente por miembros designados por el Congreso. Esta composición equitativa del organismo constitucional encargado de seleccionar y proponer a los candidatos para las principales magistraturas judiciales sumado a la mayoría opositora en el Senado, tuvo como consecuencia que por primera vez en décadas, la Corte Suprema de Justicia (CSJ) tenga una composición plural, con integrantes provenientes de distintas fuerzas políticas y tendencias ideológicas56. Esta integración plural además permitió que ocurra lo propio en las demás instancias del Poder Judicial57, que de esta manera superó su pasada integración netamente partidista, heredada de la dictadura. La apertura del Poder Judicial para postulantes de partidos opositores o independientes fue sustancial, a diferencia de las dependencias del Poder Ejecutivo que continuaron siendo un feudo exclusivo del partido de Gobierno.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implementación de las reformas electorales, que generaron fuertes reacciones de parte de sectores importantes del partido Colorado, fueron posibles gracias a sucesivas leyes aprobadas en el parlamento para la depuración de padrones y otros pasos tendientes a la transformación del sistema electoral. Los miembros del Tribunal Superior de Justicia Electoral (TSJE), que se designan de acuerdo con el procedimiento previsto para la Corte, fueron elegidos con la misma lógica que ésta58.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La mayoría opositora en el Congreso constituyó además un apoyo fundamental a la estabilidad del país. Entre los años 93 y 98, al igual que en el presente, el partido Colorado estaba profundamente dividido y el respaldo de los parlamentarios oficialistas al gobierno era mínimo. Sin el fuerte compromiso en favor de la institucionalidad demostrado por la oposición en el Parlamento, probablemente éste habría sucumbido ante las frecuentes conspiraciones militares.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oposición fue un factor fundamental para evitar la caída del presidente Wasmosy cuando el general Oviedo se sublevó contra el gobierno en abril del 9659. Este fue el último intento serio de un militar de desconocer la autoridad civil y se saldó con el fracaso y el pase a retiro de sus responsables. Tras esos acontecimientos, la subordinación militar a la autoridad presidencial habría de ser una constante en los próximos años, a pesar de frecuentes amenazas y dos intentos de sublevación60.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 esta situación se hubiese mantenido, con una agenda más extensa y una mayor coordinación por parte de los partidos de oposición, probablemente se hubiera logrado afianzar y extender las conquistas institucionales logradas. Sin embargo, las condiciones variaron sustancialmente con el abrumador triunfo colorado en las elecciones generales del 98. La oposición unida en una alianza, no solamente fue derrotada sino que inclusive perdió la mayoría en el Parlamento.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división del partido Colorado permitió en un principio conservar posiciones en el Consejo de la Magistratura. Inclusive, tras la caída del presidente Cubas, la conformación de un gobierno plural, con integrantes del partido Liberal Radical Auténtico (PLRA) y Encuentro Nacional (PEN) tuvo un significado trascendental y solo tiene un efímero precedente en la historia Esta oportunidad, sin embargo, no fue debidamente aprovechada. Lejos de establecer una estrategia común en cuanto a políticas de Estado para transformaciones a mediano y largo plazo, el PLRA y el PEN rivalizaron por alcanzar mejores espacios en el nuevo gobierno, en vez de marcar diferencias con el coloradismo, asumieron sus mismas prácticas en un gobierno que pronto habría de perder toda credibilidad por su manifiesta incompetencia y los escándalos de corrupción. El PLRA, a los pocos meses se retiró del gobierno, pero el PEN mantuvo su posición comprometiendo en consecuencia sus votos en el Parlamento.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falta de políticas comunes, sumadas a las divisiones internas en el interior de ambos partidos, ha permitido que la oposición vaya perdiendo sistemáticamente posiciones. Tanto en el Parlamento, como en el Consejo de la Magistratura y la Corte, el partido Colorado ha recuperado espacios ante el desconcierto de una oposición carente de proyectos claros. Las frecuentes crisis políticas, resueltas en muchos casos sin apego estricto a la Constitución, </w:t>
            </w:r>
            <w:r w:rsidRPr="001B7F27">
              <w:rPr>
                <w:rFonts w:ascii="Arial" w:eastAsia="Times New Roman" w:hAnsi="Arial" w:cs="Arial"/>
                <w:color w:val="003399"/>
                <w:sz w:val="17"/>
                <w:szCs w:val="17"/>
                <w:lang w:eastAsia="es-AR"/>
              </w:rPr>
              <w:lastRenderedPageBreak/>
              <w:t>han profundizado a su vez los problemas de institucionalidad y motivado permanentes conflictos de poderes. El problema de la corrupción ha ido en aumento y denuncias sumamente serias involucran inclusive al presidente González Macchi y a su entorno. Como si todo esto fuera poco, en los últimos años además se han multiplicado las denuncias sobre violaciones a los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6.1. La fragilidad institucional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crisis de marzo y sus momentos previos le dieron un amplio protagonismo a la Corte Suprema de Justicia (CSJ). Problemas que en situaciones normales debían resolverse en instancias políticas se judicializaron y fueron finalmente decididos en la máxima instancia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Así, el juicio político iniciado al presidente Raúl Cubas tiene su fundamento en el incumplimiento por parte de éste de una disposición de la CSJ que ordenaba la prisión del general Oviedo, liberado anteriormente por medio de un decreto de indulto que fue declarado inconstitucional por la propia Corte61. Tras la renuncia de Cubas, la falta de claridad de la norma que establece el procedimiento para la sucesión presidencial y puntualmente, la particularidad de una acefalía simultánea tanto de la presidencia como de la vicepresidencia62, colocaron nuevamente a la Corte Suprema como árbitro de la situación. En ese entonces, la opinión preponderante era que había que evitar ir a elecciones debido a las dificultades propias del momento y a la necesidad de recuperar la estabilidad del país. Gran parte de la opinión especializada se inclinaba a interpretar el artículo 234 de la Constitución en el sentido de que ésta se opere automáticamente en la persona del presidente del Senado, hasta finalizar el mandato. Sin embargo, muchos sostenían igualmente la necesidad de convocar a elecciones. La Corte interpretó a favor de la primera posición, evidentemente en consonancia con el deseo del nuevo gobierno, integrado aún en ese entonces inclusive por el PLRA.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positivo que la Corte Suprema haya alcanzado como poder del Estado una relevancia que anteriormente nunca tuvo en la historia. Sin embargo, esta posición garantiza de cierta forma la independencia de la máxima instancia pero no la de los demás magistrados. De hecho, la propia Constitución concentra en la CSJ funciones jurisdiccionales, de control de constitucionalidad, administrativas y de superintendencia, por lo cual la independencia de los magistrados con relación a ella es relativa, por lo menos hasta alcanzar la inamovilidad.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Además, la Corte ha avanzado más allá del texto Constitucional con el Acuerdo y Sentencia 223/2000. Efectivamente, ante las pretensiones del Senado de reemplazar a algunos de sus ministros por haber fenecido sus mandatos, y confirmar a los demás, los afectados recurrieron ante la propia CSJ por la vía de la inconstitucionalidad, alegando que todos los ministros son inamovibles hasta la edad de jubilación y solo pueden ser removidos por un juicio político, en base a lo dispuesto en el artículo 261 de la Constitución. Los senadores sostenían por el contrario, que de conformidad con el artículo 252, todos los magistrados alcanzan la inamovilidad tras ser confirmados por dos períodos consecutivos en el cargo.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realidad, el vitaliciado de los miembros de la Corte nunca fue discutido en la Convención Constituyente y la opinión de la mayoría de los senadores era compartida mayoritariamente por la opinión especializada. Sin embargo, el objetivo de reemplazar a tres ministros tenía únicamente fines partidarios. Las conducciones políticas de los tres partidos con representación parlamentaria habían variado desde la designación de la Corte vigente y las nuevas autoridades partidarias buscaban acrecentar su influencia en el máximo organismo judicial, con la designación de ministros cercanos. Esto sumado al prestigio de algunos de los destituidos y al procedimiento casi clandestino en que se adoptó la decisión, en una sesión extraordinaria sin aviso ni debate previo, generó reacciones negativas por parte de la opinión pública y crearon condiciones favorables para fallar a favor de los recurrentes, que además planteaban fundamentos sumamente sólidos.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Acuerdo y Sentencia 223/2000 declara inconstitucional la decisión del Senado y con ello se consagra el vitaliciado de los actuales ministros de la Corte Suprema de Justicia, por decisión de ellos mismos. El Acuerdo y Sentencia 247/2000, dictado en el marco del mismo expediente y a pedido de uno de los miembros del Tribunal Superior de Justicia Electoral, extiende el alcance del fallo anterior a los miembros del TSJE.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Más allá de las razones constitucionales, el procedimiento no es en absoluto correcto. Que la propia Corte resuelva cuestiones de tanta trascendencia sin un mínimo debate público y sin que exista el menor consenso político ni social, sobre un tema en el que los antecedentes de la propia Convención Constituyente no son en absoluto claros, no es razonable ni contribuye al fortalecimiento institucional del país. Evidentemente la decisión fue consentida porque además existían facturas previas relacionadas a la decisión de la Corte con relación al propio gobierno y la duración de su mandato, por lo que es seguro que esa decisión tuvo mucho que ver en aquella.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conflicto se trasladó luego a los jueces y magistrados. Siguiendo el ejemplo de sus superiores recurrieron contra la Ley 1634 “Que establece el procedimiento para la confirmación de los magistrados del Poder Judicial”. Concretamente aducían que la misma era inconstitucional porque les obligaba a postularse nuevamente para la confirmación y concursar ante el Consejo de la Magistratura. Sostenían que confirmación es un concepto diferente al de elección, y por consiguiente no se deben volver a cumplir con todos los pasos sino directamente ser confirmados o no por la propia Corte.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El pedido fue rechazado, pero a renglón seguido la CSJ dispuso en su resolución: “de conformidad a lo dispuesto en el Art. 259 de la Constitución de la República, determinar el alcance y sentido del Art. 4º in fine de la Ley 1634/2000, en el sentido de que al Consejo de la Magistratura no podrá excluir de las ternas de candidatos al Magistrado que se presentare a concursar pretendiendo su confirmación en el cargo”63. En pocas palabras, la Corte se arrogó funciones legislativas y agregó al texto de la Ley una interpretación que no se desprende ni del mismo ni de la Constitución, y que pretende imponer restricciones a la actuación de otro organismo de rango constitucional como es el Consejo de la Magistratura.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A raíz de la declaración de inconstitucionalidad del decreto por el cual el presidente Cubas liberó al general Oviedo se ha generado además un debate sumamente interesante en cuanto a los efectos del control de constitucionalidad en nuestro ordenamiento constitucional. Si bien la Constitución dispone expresamente el carácter inter partes de una sentencia de inconstitucionalidad de leyes u otros instrumentos normativos64, se han dado casos en los que en la práctica, los efectos han sido erga omnes, como en el caso citado.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hecho, compartiendo una opinión al parecer bastante coincidente en la Corte, uno de sus ministros afirma en una obra de reciente publicación: “Creemos que vinculando dicha norma (el Art. 137 de la Constitución que dispone que “Carecen de validez todas las disposiciones y los actos de autoridad opuestos a lo establecido en esta constitución”) con lo preceptuado en los artículos mencionados con anterioridad (132 y 259 inc. 5, de la Constitución), se puede afirmar que las decisiones de la Corte Suprema de Justicia sobre inconstitucionalidad, cuando son adoptadas por el pleno, pueden tener alcance general, es decir, efectos “erga omnes”, efecto derogatorio del acto normativo impugnado”65.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una posición diametralmente opuesta, Juan Carlos Mendonça sostiene que: “El control no va más allá de la norma declarada inconstitucional; no alcanza a derogarla. La Corte carece del poder de invalidación propio de otros sistemas, en los que el órgano encargado del control viene a asumir una facultad legislativa, ya que una vez hecha la declaración y debidamente publicada, la ley pierde vigencia”66.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Más allá de la valoración de estas polémicas decisiones de la Corte, es evidente que desde el momento que se refieren a temas que no formaron parte del debate constituyente o legislativo, deberían debatirse en otro ámbito y con mayor amplitud. De esta forma, se transita por un camino peligroso que por de pronto tiene como consecuencia una verdadera mutación constitucional.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6.2. Los conflictos de poderes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han dado además conflictos de otra naturaleza entre el Parlamento y la Contraloría General de la República (CGR) y el Poder Judicial en lo referente a las funciones de control. Efectivamente, el Tribunal de Cuentas sistemáticamente ha paralizado auditorías de la CGR con el argumento de que el caso estaba siendo investigado en sede judicial. En primer lugar, la Contraloría tiene rango constitucional y funciones específicas de control de la administración pública67. Este control es eminentemente político y tiene como objetivo informar a los poderes del Estado y remitir los antecedentes al Ministerio Público para las acciones posteriores. En consecuencia, sus actividades no deben confundirse con los deberes jurisdiccionales del Tribunal de Cuentas y se pueden ejercer en paralelo. Sin embargo, es común últimamente que administradores en apuros recurran al Tribunal, que normalmente es mucho más lento que la CGR, a los efectos de paralizar la investigación y ganar tiempo.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accionar del Tribunal de Cuentas perjudica además la tarea de las cámaras del Congreso, que se apoyan en la CGR en sus tareas de control político, y particularmente de la Cámara de Diputados, que requiere su dictamen para autorizar la intervención de gobiernos subnacionales.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las últimas semanas, la Corte Suprema sentó un precedente peligrosísimo al dar trámite a una acción de inconstitucionalidad promovida por el director de una entidad binacional contra la resolución de la Cámara de Diputados por la que se resolvió citarlo a los efectos de su interpelación. La CSJ, sin mayores consideraciones dispuso la suspensión de los efectos de la medida68, resolución que tampoco fue reconocida por la cámara legislativa.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Más allá de toda consideración, estos frecuentes conflictos de poderes de baja intensidad, porque generalmente no llegan a mayores, revelan las deficiencias en el funcionamiento de los distintos poderes del Estado y tienen como consecuencia la baja efectividad de sus acciones, particularmente en el campo del control de la corrupción, donde los esfuerzos se duplican inútilmente y las distintas instituciones responsables constitucionalmente se terminan anulando unas a otras, por negligencia o complicidad.</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panorama es más complejo aún si analizamos las relaciones entre el Ejecutivo y el Legislativo. Formalmente el Parlamento tiene facultades ilimitadas de control y además funciones muy amplias en materia presupuestaria. Por su parte, el Ejecutivo no tiene el suficiente margen para manejar el presupuesto de la administración y ejercer otras atribuciones propias de la función ejecutiva. Pero en la práctica, el presupuesto aprobado por el Parlamento es diametralmente diferente al que en la realidad se ejecuta y las funciones de control se desempeñan a medias por </w:t>
            </w:r>
            <w:r w:rsidRPr="001B7F27">
              <w:rPr>
                <w:rFonts w:ascii="Arial" w:eastAsia="Times New Roman" w:hAnsi="Arial" w:cs="Arial"/>
                <w:color w:val="003399"/>
                <w:sz w:val="17"/>
                <w:szCs w:val="17"/>
                <w:lang w:eastAsia="es-AR"/>
              </w:rPr>
              <w:lastRenderedPageBreak/>
              <w:t xml:space="preserve">falta de medios, cooperación del Ejecutivo y sobre todo, voluntad del propio Congreso de hacer valer sus prerrogativas.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6.3. Hacia la partidización del Poder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afianzamiento de un Poder Judicial plural también corre un serio riesgo. En una primera etapa, la conformación pluralista de los órganos de selección de magistrados (Consejo de la Magistratura, Senado y CSJ) habían permitido una integración democrática de la Corte y los demás tribunales y juzgados. En una segunda etapa, se debería haber avanzado hacia procesos de selección más rigurosos, basados en criterios objetivos de evaluación y de esa manera, garantizar un sistema de méritos para el acceso y la promoción en cargos judiciales.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la nueva composición del Parlamento ha desatado una verdadera reacción en cadena que a la fecha permite un amplio control colorado del proceso. Efectivamente, la primera consecuencia fue lograr una aplastante mayoría en el Consejo. Posteriormente, tras una vacancia en la Corte producida por la muerte del ministro Elixeno Ayala, de tendencia liberal, se rompió el equilibrio vigente desde la integración de la Corte en los términos de la nueva Constitución, en el año 9569.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hecho en si no es tan elocuente como sus detalles. La terna fue integrada por tres personas pertenecientes al partido Colorado, y quedaron excluidos distinguidos juristas de méritos académicos superiores a los de algunos de los postulantes pero que eran de partidos opositores.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Con estos antecedentes, los temores son suficientemente fundados en cuanto al futuro del Poder Judicial. En estos meses se deben renovar la mayoría de los juzgados, tribunales y fiscalías, la composición partidistas del Consejo y la reciente hegemonía en la Corte, no garantizan en absoluto que prevalezcan los méritos antes que el padrinazgo a la hora de la selección.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6.4. La corrupción generalizada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problema de la corrupción, lejos de haberse atenuado se ha acentuado. Inclusive es común escuchar que la gente afirma que ahora existe más corrupción que durante la dictadura. No hay fundamentos serios para sostener semejante afirmación. De hecho, este problema es justamente una de las herencias más pesadas del stronismo, que ha beneficiado por supuesto a los gobiernos posteriores.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 embargo, la sensación ciudadana es real y probablemente se deba a que hoy, gracias a la vigencia de la libertad de prensa, se difunden con mayor amplitud las denuncias. Además, la labor parlamentaria de investigación y denuncia, al igual de la de otros órganos de control político y jurisdiccional, sin ser óptima, ha sacado a la luz una cantidad importante de escándalos de corrupción, cosa que durante la dictadura no ocurría.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De todas maneras, la credibilidad en el sistema democrático mismo está en entredicho ante los frecuentes y cada vez más graves escándalos de corrupción que llegan a la luz pública. Esto es natural ya que la gente identifica sus penurias y miserias con la corrupción y una democracia imperfecta e incapaz de dar respuestas a los problemas económicos y sociales. Pretender un análisis a fondo de causas y efectos, que deslinde la vinculación causal entre democracia y pobreza, es exigir mucho a un país que se debate en la miseria. El desafío de recuperar la confianza radica en la clase dirigente y la aptitud que demuestre en el futuro al enfrentar a los problemas nacionales.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Agrava aún más este cuadro la seriedad de casos de corrupción que involucran al mismo Presidente de la República, a su entorno familiar y a amigos personales. A modo de ejemplos, el desvío irregular de varios millones de dólares depositados en bancos en procesos de liquidación bajo supervisión del Banco Central, para ser utilizados en “operaciones de alto rendimiento” en los EE.UU. ha motivado que un fiscal de delitos económicos solicite el procesamiento del Presidente hace unas semanas. Más recientemente, el descubrimiento del pago de medio millón de dólares en concepto de honorarios profesionales a un escribano amigo del Presidente, por la elaboración de una escritura pública de una empresa del Estado en proceso de privatización, que de acuerdo a normas legales debía haber sido realizada en forma gratuita por la Escribanía Mayor de Gobierno, ha generado un crisis que pone en riesgo inclusive la continuidad del proceso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medio de estas frustraciones, la condena en primera instancia del ex presidente Juan Carlos Wasmosy por hechos de corrupción es un signo alentador. Sin embargo, debe ser tomado con cautela debido a que existe un largo proceso de apelaciones pendiente, que puede reducir al mínimo la pena o inclusive anularla.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6.5. El problema de los derechos humanos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Uno de los principales logros alcanzados por la transición, la vigencia plena de los derechos, libertades y garantías, se ha visto desmentido en los últimos años por la realidad. Los informes de las organizaciones de DD.HH., sobre todo los más recientes, son coincidentes en cuanto al aumento de denuncias de torturas y otros tratos crueles, inhumanos y degradantes70 y de detenciones ilegales71. Igualmente se han multiplicado las denuncias de ejecuciones por parte de efectivos policiales y la situación en las cárceles se ha agravado notablemente.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El caso más serio probablemente sea el del secuestro y tortura de dos dirigentes de un movimiento político de izquierda. Juan Arrom y Anuncio Martí, sospechosos de participar del secuestro de la nuera de un ex alto funcionario de la dictadura y del gobierno de Rodríguez, fueron detenidos ilegalmente por los responsables de la investigación y torturados salvajemente. Su liberación fue posible gracias a que sus familiares encontraron el lugar donde estaban retenidos, posiblemente gracias a una filtración interna. Ambos reconocieron a sus captores, algunos de ellos importantes oficiales de la policía y se comprobó que el lugar de reclusión estaba alquilado a nombre de un oficial. Ambos denunciaron igualmente que los fiscales de la causa estaban en conocimiento e inclusive dos ministros del Poder Ejecutivo, esta versión fue corroborada por un amigo cercano de uno de esos ministros.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caso fue denunciado a la Comisión Interamericana de Derechos Humanos, que de inmediato tomó interés y ordenó medidas cautelares a favor de ambos y de otros detenidos en el mismo caso. Sin embargo, las investigaciones judiciales no avanzan y probablemente queden en la nada.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Estos hechos son sumamente graves y constituyen un serio retroceso en un proceso que creíamos exitoso, por lo menos en materia de derechos humanos. Revelan que se ha avanzado poco y nada en el camino de construir una verdadera cultura de la tolerancia y el respeto a la diversidad y que estamos más cerca de lo que pensamos de volver al pasado.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7. Mirando al futuro: dilemas, desafíos y reformas para salir del estancamiento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Paraguay ha vivido intensos cambios en la última década. Semanas antes del golpe militar de 1989, nadie hubiese imaginado que en tan poco tiempo el país viviría en libertad. Unas semanas bastaron para dejar atrás una dictadura sangrienta e iniciar un tímido pero inédito proceso de transición.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Hoy sin embargo, esta democracia frágil e imperfecta se ve amenazada por vicios que no se pudieron superar y que heredamos de décadas de autoritarismo. La falta de institucionalidad, que atenta contra el funcionamiento mismo de los poderes públicos; la corrupción, que socava la confianza ciudadana en las instituciones democráticas; y el comportamiento delictual de oficiales de órganos de seguridad del Estado que, ante la indiferencia cómplice de sus superiores, pretenden reimplantar prácticas como la tortura y el secuestro, ponen en tela de juicio la supervivencia del proceso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Más allá de todos esos factores, el elemento que más debe preocuparnos es el creciente descontento ciudadano. El descreimiento ha trascendido a las personas y llega a las mismas instituciones. No se puede esperar otra cosa cuando la realidad nos indica que la libertad que hemos alcanzado no nos ha servido para resolver nuestros problemas más básicos.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situación nos plantea el dilema de quienes en su desencanto, reniegan de la democracia y buscan el amparo de “líderes fuertes” que puedan restablecer “el orden”. Recordando las palabras de Lewis al caracterizar los ánimos en los años previos a la llegada de Stroessner al poder, no debe sorprendernos la similitud con los de estos tiempos, y en ese contexto, la popularidad de un ex militar como Lino Oviedo, o la creciente nostalgia de la época de Stroessner.</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Responder a posiciones simplistas pero efectistas, como la anterior, es una tarea difícil y que además requiere de una tradición democrática profundamente enraizada. Sin embargo es fundamental que se comprenda que las claves para entender y resolver los problemas del país no se encuentran en la democracia que tenemos, sino en la que nos falta, en la que necesitamos para superar definitivamente la cultura autoritaria que ha sobrevivido a la dictadura y para enterrar un sistema perverso que permanece entre nosotros aunque su creador se fue hace años.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Romper esta situación de estancamiento requiere atacar las causas mismas del problema. Se ha visto como el proceso se dinamizó notablemente durante el periodo en que la oposición actuó en forma concertada, desde una posición de fuerza que le confería su mayoría en el Congreso. En sentido contrario, el proceso se desacelera y retrocede ante la falta de una oposición coherente y sobre todo, tras la pérdida del control del Congreso.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Este dato es fundamental, porque una de las razones por las cuales ha sido imposible desmontar el sistema heredado de la dictadura es por la falta de alternancia. En líneas generales no solamente el mismo partido sigue gobernando sino además, prácticamente las mismas personas. Rodríguez era el segundo oficial en jerarquía y poder en las FF.AA. después de Stroessner; Wasmosy y Cubas forman parte de la elite que se enriqueció con la construcción de las represas hidroeléctricas, al amparo de su vinculación con el régimen; y González Macchi es hijo de un ministro de Stroessner y fue funcionario de la dictadura hasta que ésta cayó.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éste punto está el debate central. La alternancia pacífica es un tema pendiente en toda la historia del Paraguay. La debilidad de nuestra democracia se evidencia ante esta realidad, que demuestra que a pesar de los avances en materia electoral, las asimetrías aún son muy grandes. Efectivamente, la ventaja que significa contar con el apoyo de alrededor de doscientos mil funcionarios públicos colorados (más sus familias) que normalmente votan por su partido </w:t>
            </w:r>
            <w:r w:rsidRPr="001B7F27">
              <w:rPr>
                <w:rFonts w:ascii="Arial" w:eastAsia="Times New Roman" w:hAnsi="Arial" w:cs="Arial"/>
                <w:color w:val="003399"/>
                <w:sz w:val="17"/>
                <w:szCs w:val="17"/>
                <w:lang w:eastAsia="es-AR"/>
              </w:rPr>
              <w:lastRenderedPageBreak/>
              <w:t>ante el temor de perder sus puestos bajo un gobierno de signo distinto, es desde ya importante. A esto se suma la utilización de los recursos del Estado, que es una práctica que persiste a pesar de los crecientes controles. Pero el factor fundamental que impide que se pueda hablar de igualdad de oportunidades en las contiendas electorales es la inmensidad de recursos financieros, provenientes de aportes de las empresas que contratan con el Estado o directamente de la corrupción gubernamental, que es capaz de captar el partido de gobierno. Esto es posible debido a que los sistemas de control del financiamiento de las campañas electorales son deficientes y además porque no existe una voluntad suficiente de los organismos de fiscalización. Se deben impulsar reformas tendientes a fortalecer los controles en los procesos electorales y sobre todo, a transparentar la financiación de las campañas políticas.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El fortalecimiento de la democracia requiere además la consolidación de los partidos, fundamentalmente de los opositores. Durante esta década, el partido Colorado se ha comportado prácticamente como un partido hegemónico, incluyendo internamente sectores favorables y desfavorables al gobierno, al menos en apariencia. Esto les ha permitido presentarse ante la opinión pública como críticos de la situación y al mismo tiempo beneficiarse con los privilegios del poder.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Esta habilidad oficialista contrasta con la incapacidad de articulación de los demás partidos. Durante estos años ha faltado una oposición que demuestre capacidad de ser alternativa por medio de proyectos serios e incluyentes. Las alianzas concertadas entre los principales partidos de oposición han carecido de un mensaje suficientemente convincente, lo que sumado a todos los factores externos, claramente adversos, ha permitido una firme hegemonía colorada. La situación se ha agravado en los últimos años, cuando tras la división colorada, los principales partidos de oposición (PLRA y PEN) se han dividido en posiciones de apoyo a uno u otro sector. Las posibilidades de superar el estancamiento del proceso de institucionalización del país, se centran también en la posibilidad de una oposición vigorosa, que sea capaz de concertar un proyecto común, amplio e incluyente.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Uno de los legados más nefastos del stronismo es la desarticulación de la sociedad civil. Durante décadas la persecución a toda forma de organización ciudadana fue sistemática, brutal y eficiente. Al final de la dictadura, la sociedad estaba desmovilizada. Sin embargo, el aporte de los movimientos sociales ha sido fundamental, tanto para la caída de Stroessner como para la transición. Las protestas contra la dictadura, que reunieron a gremios, sindicatos, estudiantes e iglesia, fueron medidas importantísimas para deslegitimar a la dictadura. Igualmente, la movilización ciudadana en defensa de las instituciones durante el golpe militar de abril del 96 y la crisis de marzo del 99, constituyó un factor clave para sostener la democracia. Sin embargo, este compromiso exteriorizado hasta en forma heroica72 ha sido hasta ahora esporádico y por ello no es efectivo a la hora de ejercer presiones sobre el poder para forzar reformas o evitar abusos del gobierno. Una sociedad civil más organizada y vigilante, puede ayudar a romper este círculo vicioso que ha sostenido a la dictadura y a los gobiernos de la democracia.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punto es fundamental insistir en la necesidad de una prensa independiente y responsable con su rol de difundir las distintas opciones y propuestas electorales de una manera equitativa en cuanto a los espacios, sin perjuicio del derecho de cada medio de sentar posiciones a favor y en contra de propuestas o candidaturas, en ejercicio del periodismo de opinión73.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ese sentido es importante mencionar el trabajo de monitoreo de la información electoral que realizó el Sindicato de Periodistas del Paraguay (SPP) en ocasión de las elecciones generales de 1998 en nuestro país. Las conclusiones son realmente preocupantes. En el prólogo firmado por la Comisión Directiva del SPP se enfatiza que “desde setiembre de 1997, casi todos los medios entraron a formar parte del proceso de polarización que desbordó el ámbito político, yendo de contramano con los fines de bien social de los medios masivos de comunicación ... Asimismo algunas de estas deficiencias en la cobertura informativa electoral pudo darse por la poca cantidad de periodistas especializados en el área de política electoral, por lo cual muchas veces los programas/espacios dedicados a este tema no proporcionaron un análisis adecuado y a profundidad ... Este monitoreo muestra que un gran porcentaje de la información electoral se centró en la crisis política del partido gobernante y en la figura de un político con características fascistas, el Gral. (SR) Lino Oviedo. Esto hizo que prácticamente no se brindaran orientaciones sobre cuestiones más electorales, como referencias a los candidatos de todos los partidos en pugna, antecedentes (de los candidatos).., programas de gobierno...”74.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Este minucioso estudio de la distribución de los espacios en medios masivos de comunicación sobre el tema de las elecciones demuestra además una gran desproporción entre las apariciones de los candidatos principales. Los candidatos oficialistas prácticamente doblan el tiempo radial y televisivo y el espacio en prensa escrita de los candidatos opositores.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La periodista María Cristina Sanabria coincide con este enfoque y sostiene que en estas elecciones el “partido del Gobierno tuvo ... las de ganar, los tres medios de prensa escritos de publicación matutina tuvieron una marcada tendencia colorada ... La radio no quedó atrás, ... También aquí las posturas fueron bien definidas (en favor del partido Colorado)” 75.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En estas condiciones, ¿es posible hablar del derecho a la información cuando la prensa está tan sesgada y monopolizada en favor de una fuerza política?. El debate sobre la reforma electoral es insuficiente sin la existencia de medios de prensa serios, responsables y coherentes con la función social que deben desempeñar.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El proceso de democratización ha contado con aportes fundamentales del periodismo. Desde la denuncia de casos de corrupción hasta la defensa de la democracia en momentos de crisis. Sin embargo, las exigencias actuales requieren de la prensa un mayor compromiso que el que hasta ahora ha demostrado, su aporte puede ser fundamental para romper este círculo vicioso que somete al país al atraso.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Finalmente, es necesario hacer referencia a las deficiencias del funcionamiento de nuestras instituciones democráticas. Se han mencionado los frecuentes conflictos entre poderes y las consecuencias negativas de los mismos en cuanto al funcionamiento de estos órganos del Estado y las posibilidades reales de poder cumplir con sus fines. En este punto es fundamental reconocer que hay lagunas constitucionales que deben ser corregidas y que además existen problemas de diseño que se deben rectificar. Es necesario definir con mayor claridad y precisión las funciones propias de cada poder del Estado, distinguir claramente las funciones ejecutivas de las legislativas fortaleciendo la capacidad de administrar del Poder Ejecutivo y ampliando las facultades de control del Legislativo. Igualmente, se deben establecer materias no justiciables, sobre todo las referidas a las funciones de control político del Parlamento, de tal forma que se eviten conflictos con el Poder Judicial.</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Es particularmente necesario, además, dotar al sistema de mecanismos que permitan la solución de situaciones críticas sin la necesidad de llegar a situaciones extremas, como el juicio político. Esta medida es traumática porque implica la remoción por razones de suma gravedad de un gobernante electo por voto popular, y que requiere una mayoría política difícil de alcanzar. Se pueden dar situaciones en que no se alcancen los votos para destituir al Presidente pero la mayoría en contra de su gestión sea de todas maneras importante. Esto ocurre hoy en Paraguay, y la consecuencia es que el Congreso no tiene los votos para el juicio político, pero al mismo tiempo, el Presidente no tiene el respaldo político para gobernar, con lo cual la crisis, lejos de resolverse se acentúa.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 pueden evaluar al respecto soluciones intermedias que permitan mayorías parlamentarias menos altas para destituir a ministros, por ejemplo, con lo cual se puede contribuir a descomprimir la crisis sin necesidad de enjuiciar al presidente.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Sin embargo, una solución de fondo al problema debería ser la discusión del sistema político mismo, es decir evaluar una reforma constitucional que reemplace el sistema presidencialista por el parlamentarista.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Esta alternativa surge de dos realidades: En primer lugar, a pesar de que en teoría, en un sistema presidencialista, el presidente gobierna sin necesidad del respaldo del Parlamento, esto queda demostrado por la evidencia de los hechos que no se da en la práctica. Efectivamente, la experiencia nos demuestra de que el éxito o fracaso de un gobierno radica en el respaldo parlamentario que pueda tener. En consecuencia, ¿no resulta más razonable que el propio gobierno surja desde su inicio de un acuerdo en esta instancia, que le garantice una mayoría estable?.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segundo lugar, las sucesivas crisis en la región, que terminaron con la caída de los presidentes Collor de Mello (Brasil), Carlos Andrés Pérez (Venezuela), Abdalá Bucarán y Jamil Mahuad (Ecuador), y más recientemente, Raúl Cubas (Paraguay) Alberto Fujimori (Perú), Fernando de la Rúa (Argentina) y el golpe contra Hugo Chávez (Venezuela), demuestran que el sistema presidencialista es sumamente rígido para enfrentarlas, y las salidas que ofrece constitucionalmente son limitadas y traumáticas. En todos estos países, si tenían sistemas de gobierno parlamentarista, estas crisis se hubiesen resuelto con una moción de censura y la designación de un nuevo gobierno.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En este punto, se ha fundamentado en contra de estas posiciones afirmando que el parlamentarismo requiere para que funcione de partidos estables y disciplinados, que puedan ser capaces de pactar programas para formar gobiernos. Sin dudas los partidos Latinoamericanos no se caracterizan por estas particularidades. Sin embargo, existen países europeos en los que el sistema funciona sin que sus partidos sean un ejemplo de disciplina, como en Italia. Además, nuevas reglas de juego probablemente impongan nuevos estilos políticos.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todas maneras, este es un tema extenso y complejo que debería ser analizado a fondo. Pero es importante dejar sentado que los problemas institucionales en el país y la región son críticos, por lo que debemos tener la capacidad de imaginar alternativas igualmente radicales.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8. A modo de conclusión</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Paraguay tuvo dos oportunidades excepcionales para dar un giro radical a su presente y futuro.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golpe del 89 fue aprovechado a medias, los logros fueron importantes pero insuficientes. Con el gobierno de unidad nacional, posible solamente por la gravedad de las circunstancias que le dieron nacimiento, lejos de asumirse compromisos con responsabilidad y grandeza, afloraron las miserias humanas de siempre que primaron sobre la razón, dividieron posiciones, y permitieron que los oportunistas queden dueños de la situación para que nada cambie.</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La vocación de los líderes del partido Colorado de seguir utilizando el esquema de poder consolidado durante la dictadura, y la falta de una oposición consistente, unida y capaz de concertar un proyecto de país que aglutine a quienes buscan el cambio, ha permitido que el proceso democratizador, tras un periodo de importantes avances, se estanque e inclusive retroceda.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Para revertir esta situación es fundamental impulsar reformas institucionales radicales, el fortalecimiento de partidos opositores que hagan verdaderamente oposición y ofrezcan proyectos alternativos al oficialista, comprometer seriamente a la sociedad civil a que asuma un rol más activo en la vida política del país, y rediscutir, no solamente las cuestiones que hacen al sistema electoral sino inclusive las que se refieren al sistema político mismo.</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Recordando las palabras de Milda Rivarola, “somos aún tributarios de una peculiar “revolución” nacionalista antiparlamentaria, autoritaria y militarista, que a lo largo de un cuarto de siglo fue transformando un Estado y una Sociedad de tradiciones y valores diferentes...” 76.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El desafío que tiene el Paraguay para los próximos años es construir una sociedad civil y política lo suficientemente vigorosa y movilizada, que sea capaz de desmontar los pilares de esa cultura antidemocrática que aún persiste y concertar los acuerdos que permitan superar los problemas económicos y sociales del país.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BIBLIOGRAFÍA:</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ALFONSO, Leonardo. Empleo y Educación. En BORDA, Dionisio; MASI, Fernando (comp.). Pobreza, desigualdad y política social en América Latina. Asunción: Cadep, 2001. P. 259-283.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BÁEZ, Cecilio. Historia colonial del Paraguay y Río de la Plata. Asunción: Carlos Schauman Editor, 1991.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BÁEZ, Cecilio. Ensayo sobre el Dr. Francia y la dictadura en Sudamérica. Asunción: El Lector, 1996.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BÉCKER M., Gustavo. El sistema electoral paraguayo, bases constitucionales y legales. Asunción: Konrad Adenauer Stiftung, 1996.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BENEGAS, Gladys. Derecho al empleo. En COORDINADORA DE DERECHOS HUMANOS DEL PARAGUAY (Codehupy). Derechos Humanos en Paraguay 2001. Asunción: Codehupy, 2001. P. 357-362.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BOCCIA PAZ, Alfredo; PORTILLO, Carlos; ARESTIVO, Carlos. Médicos, ética y tortura en el Paraguay. Asunción: RP ediciones, 1992.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BOCCIA PAZ, Alfredo. La década inconclusa, historia real de la OPM. Asunción: El Lector, 1997.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BOH, Luís Alberto. Pobreza, vivienda y política urbana. En BORDA, Dionisio; MASI, Fernando (comp.). Pobreza, desigualdad y política social en América Latina. Asunción: Cadep, 2001. P. 361-373.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BORDA, Dionisio. Auge y crisis de un modelo económico: el caso paraguayo. Asunción: Universidad Católica, 1994.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BORDA, Dionisio; MASI, Fernando (ed.). Estabilización y ajuste de las economías del MERCOSUR. Asunción: Cadep,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BORDA, Dionisio; MASI, Fernando (ed.). Los retos de la competitividad. Asunción: Cadep, 2000.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BORDA, Dionisio; MASI, Fernando (comp.). Pobreza, desigualdad y política social en América Latina. Asunción: Cadep,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BOUVIER, Virginia M. El ocaso de un sistema, encrucijada en Paraguay. Asunción: Ñandutí vive, 1988.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CABALLERO AQUINO, Ricardo. La segunda república paraguaya. Asunción: Arte Nuevo editores, 1985.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CABALLERO AQUINO, Ricardo. La tercera república paraguaya. Asunción: El Lector, 1988.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CABALLERO MERLO, Javier Numan; CÉSPEDES RUFFINELLI, Roberto Luís (comp.). Realidad Social del Paraguay. Asunción: Ceaduc y Cidsep,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CAMACHO, Emilio. Constitución y estado de excepción. Asunción: La Ley Paraguaya S.A., 1990.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t>CARDOZO, Efraín. Apuntes de historia cultural del Paraguay. Asunción: Biblioteca de Estudios Paraguayos, 1985.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CARDOZO, Efraín. El Paraguay colonial. Asunción: El Lector, 1996.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COORDINADORA DE DERECHOS HUMANOS DEL PARAGUAY (CODEHUPY). Derechos Humanos en Paraguay 1996. Asunción: Codehupy, 1996.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COORDINADORA DE DERECHOS HUMANOS DEL PARAGUAY (CODEHUPY). Derechos Humanos en Paraguay 1999. Asunción: Codehupy, 1999.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COORDINADORA DE DERECHOS HUMANOS DEL PARAGUAY (CODEHUPY). Derechos Humanos en Paraguay 2001. Asunción: Codehupy,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COSTA, José María; AYALA BOGARÍN, Oscar. Operación Gedeón, los secretos de un golpe frustrado. Asunción: Editorial Don Bosco, 1996.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COUCHONNAL, Ana; CASTILLO, Orlando. Gastos militares en Paraguay. Asunción: Serpaj-PY,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CHÁVEZ. Julio César. El Supremo Dictador. 5º edición. Asunción: Carlos Schauman Editor, 1985.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CHIAVENATO, Julio José. Genocidio americano, la guerra del Paraguay. Asunción: Carlos Schauman Editor, 1984.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DE MOTA MENEZES, Alfredo. La herencia de Stroessner. 1ª edición en español. Asunción: Carlos Schauman Editor, 1990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DIRECCIÓN GENERAL DE ESTADÍSTICA, ENCUESTAS Y CENSOS (DGEEC). Marco regulatorio del servicio de agua potable y alcantarillado sanitario. Trabajo De Apoyo Estadístico al Congreso Nacional (TAEC). Año 1, junio 2000, Nº 4.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FILIZZOLA SERRA, Rafael. Situación legal de la educación superior. En RIVAROLA, Domingo; y otros. Universidad en el Paraguay, desafíos y dilemas. Asunción: Asociación de Estudios Paraguayos (AEP) y Círculo Paraguayo de Médicos (CPM), 2000. P. 131-144.</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FILIZZOLA SERRA, Rafael. Sistemas electorales y la crisis de representatividad en Paraguay. En Revista Jurídica. Asunción: Universidad Católica, 2001. P. 35-63 (tomo 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FILIZZOLA SERRA, Rafael (b). La importancia de las instituciones representativas en los procesos de integración. En El Poder Legislativo y los nuevos desafíos de la integración. Asunción: Universidad Católica, 2001. P. 35-63 (tomo 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FREIRE ESTEVES, Gomes. Historia contemporánea del Paraguay. Asunción: Unidad para la promoción de la democracia UPD/OEA,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FRUTOS, Julio César; VERA, Helio. Pactos políticos. Asunción: editorial Medusa, 1993.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GONZÁLEZ, Teodosio. Infortunios del Paraguay. Asunción: Comuneros.</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IRALA BURGOS, Adriano. La ideología política del doctor Francia. Asunción: Carlos Schauman Editor,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LEWIS, Paul. Paraguay bajo Stroessner. 1ª edición en Español. México: Fondo de Cultura Económica, 1986.</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LEZCANO CLAUDE, Luís. El control de constitucionalidad en el Paraguay. Asunción: La Ley Paraguaya S.A., 2000.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LEZCANO CLAUDE, Luís. La reforma de la Constitución del 92: algunos temas para la discusión. En Revista Jurídica. Asunción: Universidad Católica, 2001. P. 65- 89 (tomo 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MARTINI, Carlos; YORE, Mirian. La corrupción como mecanismo de reproducción del sistema político paraguayo. Asunción: Cidsep,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MASI, Fernando (comp.). Privatización en América Latina y en Paraguay. Asunción: Cadep, 2000.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MATEO BALMELLI, Carlos. Gobernabilidad democrática. Asunción: Konrad Adenauer Stiftung,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MATEO BALMELLI, Carlos. La reforma institucional del Estado. Asunción: Konrad Adenauer Stiftung y PNUD,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MENDONCA, Daniel. Estado social de derecho. Asunción: Cidsep, 2000.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lastRenderedPageBreak/>
              <w:br/>
              <w:t>MENDONÇA, Juan Carlos. Estudio preliminar. En MENDONCA, Daniel. Estado social de derecho. Asunción: Cidsep, 2000. P. 15-29.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MENDONÇA, Juan Carlos (b). La garantía de inconstitucionalidad. Asunción: Ed. Litocolor, 2000.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MIRANDA, Aníbal. Prisionero en Paraguay, reflexiones sobre la tortura bajo el stronismo. Asunción: Ñandutí vive y Miranda &amp; asociados, 1989.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MONTERO T., Jesús. Política educativa y equidad. En BORDA, Dionisio; MASI, Fernando (comp.). Pobreza, desigualdad y política social en América Latina. Asunción: Cadep, 2001. P. 351-359.</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O´LEARY, Juan E. Historia de la Guerra de la Triple Alianza. Asunción: Carlos Schauman Editor, 1992.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PEÑA VILLAMIL, Manuel. Eusebio Ayala y su tiempo. Asunción: Graphis SRL, 1993.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PRIETO J, Justo. La Constitución paraguaya concordada. Asunción: Biblioteca de Estudios Paraguayos, 1987.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PRIETO J, Justo. Constitución y régimen político en el Paraguay. Asunción: El Lector, 1987.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RECALDE, Felipe. Pobreza, exclusión e inequidad en salud. En BORDA, Dionisio; MASI, Fernando (comp.). Pobreza, desigualdad y política social en América Latina. Asunción: Cadep, 2001. P. 317-350.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RIVAROLA, Domingo; y otros. Universidad en el Paraguay, desafíos y dilemas. Asunción: Asociación de Estudios Paraguayos (AEP) y Círculo Paraguayo de Médicos (CPM), 2000.</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RIVAROLA, Milda; CARDOZO, Juan Andrés; RODRÍGUEZ, José Carlos; COLMÁN GUTIÉRREZ, Andrés. Marzo paraguayo, una lección de democracia. Asunción: Biblioteca Última Hora, 2001.</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RIVAROLA, Milda. La contestación al orden liberal, la crisis del liberalismo en la preguerra del chaco. Asunción: CDE, 1993.</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SINDICATO DE PERIODISTAS DEL PARAGUAY (SPP). Periodismo Electoral, La agenda de los medios de comunicación durante las Elecciones Nacionales de 1998. Asunción: Sindicato de Periodistas del Paraguay/Federación Internacional de Periodistas/Unión Europea, 1998.</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RODÍGUEZ SILVERO, Ricardo. La economía paraguaya en 1996-1997. Asunción: Konrad Adenauer Stiftung, 1997.</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SANABRIA, Maria Cristina. Campaña electoral en el Paraguay. En PRIESS, Frank; TUESTA SOLDEVILLA, Fernando (editores). Campañas Electorales y Medios de Comunicación en América Latina. Argentina: Ciedla y Konrad Adenauer Stiftung, 1999. P. 459-499 (tomo II).</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SEIFERHELD M., Alfredo. Estigarribia, veinte años de política paraguaya. Asunción: Editorial Laurel, 1982.</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SEIFERHELD M., Alfredo. Nazismo y fascismo en el Paraguay. Asunción: Editorial Histórica, 1985.</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VALIENTE, Hugo. Derecho a la integridad personal, seguridad e integridad física. En COORDINADORA DE DERECHOS HUMANOS DEL PARAGUAY (Codehupy). Derechos Humanos en Paraguay 2001. Asunción: Codehupy, 2001. P. 51-100.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 xml:space="preserve">WALDER, Gabriela; CORONEL, Cristina. Derecho a la Educación. En COORDINADORA DE DERECHOS HUMANOS DEL PARAGUAY (Codehupy). Derechos Humanos en Paraguay 2001. Asunción: Codehupy,2001. P. 383-391. </w:t>
            </w:r>
            <w:r w:rsidRPr="001B7F27">
              <w:rPr>
                <w:rFonts w:ascii="Arial" w:eastAsia="Times New Roman" w:hAnsi="Arial" w:cs="Arial"/>
                <w:color w:val="003399"/>
                <w:sz w:val="17"/>
                <w:szCs w:val="17"/>
                <w:lang w:eastAsia="es-AR"/>
              </w:rPr>
              <w:br/>
            </w:r>
            <w:r w:rsidRPr="001B7F27">
              <w:rPr>
                <w:rFonts w:ascii="Arial" w:eastAsia="Times New Roman" w:hAnsi="Arial" w:cs="Arial"/>
                <w:color w:val="003399"/>
                <w:sz w:val="17"/>
                <w:szCs w:val="17"/>
                <w:lang w:eastAsia="es-AR"/>
              </w:rPr>
              <w:br/>
              <w:t>WHITE, Richard Alan. La primera revolución popular en América Paraguay(1810-1840). 2º edición. Asunción: Carlos Schauman Editor, 1989.&lt; b&gt;</w:t>
            </w:r>
          </w:p>
          <w:p w:rsidR="001B7F27" w:rsidRPr="001B7F27" w:rsidRDefault="001B7F27" w:rsidP="001B7F27">
            <w:pPr>
              <w:spacing w:before="100" w:beforeAutospacing="1" w:after="100" w:afterAutospacing="1" w:line="240" w:lineRule="auto"/>
              <w:jc w:val="right"/>
              <w:rPr>
                <w:rFonts w:ascii="Arial" w:eastAsia="Times New Roman" w:hAnsi="Arial" w:cs="Arial"/>
                <w:i/>
                <w:iCs/>
                <w:color w:val="003399"/>
                <w:sz w:val="17"/>
                <w:szCs w:val="17"/>
                <w:lang w:eastAsia="es-AR"/>
              </w:rPr>
            </w:pPr>
            <w:hyperlink r:id="rId94" w:anchor="arriba" w:history="1">
              <w:r w:rsidRPr="001B7F27">
                <w:rPr>
                  <w:rFonts w:ascii="Arial" w:eastAsia="Times New Roman" w:hAnsi="Arial" w:cs="Arial"/>
                  <w:i/>
                  <w:iCs/>
                  <w:color w:val="003399"/>
                  <w:sz w:val="17"/>
                  <w:szCs w:val="17"/>
                  <w:lang w:eastAsia="es-AR"/>
                </w:rPr>
                <w:t>volver arriba</w:t>
              </w:r>
            </w:hyperlink>
          </w:p>
        </w:tc>
      </w:tr>
    </w:tbl>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lastRenderedPageBreak/>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B7F27" w:rsidRPr="001B7F27" w:rsidRDefault="001B7F27" w:rsidP="001B7F27">
      <w:pPr>
        <w:spacing w:before="100" w:beforeAutospacing="1" w:after="100" w:afterAutospacing="1" w:line="240" w:lineRule="auto"/>
        <w:rPr>
          <w:rFonts w:ascii="Arial" w:eastAsia="Times New Roman" w:hAnsi="Arial" w:cs="Arial"/>
          <w:color w:val="003399"/>
          <w:sz w:val="17"/>
          <w:szCs w:val="17"/>
          <w:lang w:eastAsia="es-AR"/>
        </w:rPr>
      </w:pPr>
      <w:r w:rsidRPr="001B7F27">
        <w:rPr>
          <w:rFonts w:ascii="Arial" w:eastAsia="Times New Roman" w:hAnsi="Arial" w:cs="Arial"/>
          <w:color w:val="003399"/>
          <w:sz w:val="17"/>
          <w:szCs w:val="17"/>
          <w:lang w:eastAsia="es-AR"/>
        </w:rPr>
        <w:t> </w:t>
      </w:r>
    </w:p>
    <w:p w:rsidR="001F2B2D" w:rsidRPr="001B7F27" w:rsidRDefault="001B7F27" w:rsidP="001B7F27">
      <w:bookmarkStart w:id="31" w:name="_GoBack"/>
      <w:bookmarkEnd w:id="31"/>
    </w:p>
    <w:sectPr w:rsidR="001F2B2D" w:rsidRPr="001B7F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27"/>
    <w:rsid w:val="001B7F27"/>
    <w:rsid w:val="00437F78"/>
    <w:rsid w:val="0088237C"/>
    <w:rsid w:val="00943A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B7F27"/>
    <w:rPr>
      <w:strike w:val="0"/>
      <w:dstrike w:val="0"/>
      <w:color w:val="003399"/>
      <w:u w:val="none"/>
      <w:effect w:val="none"/>
    </w:rPr>
  </w:style>
  <w:style w:type="paragraph" w:styleId="NormalWeb">
    <w:name w:val="Normal (Web)"/>
    <w:basedOn w:val="Normal"/>
    <w:uiPriority w:val="99"/>
    <w:unhideWhenUsed/>
    <w:rsid w:val="001B7F2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41">
    <w:name w:val="estilo41"/>
    <w:basedOn w:val="Fuentedeprrafopredeter"/>
    <w:rsid w:val="001B7F27"/>
    <w:rPr>
      <w:b/>
      <w:bCs/>
      <w:color w:val="009933"/>
      <w:sz w:val="20"/>
      <w:szCs w:val="20"/>
    </w:rPr>
  </w:style>
  <w:style w:type="character" w:styleId="Hipervnculovisitado">
    <w:name w:val="FollowedHyperlink"/>
    <w:basedOn w:val="Fuentedeprrafopredeter"/>
    <w:uiPriority w:val="99"/>
    <w:semiHidden/>
    <w:unhideWhenUsed/>
    <w:rsid w:val="001B7F27"/>
    <w:rPr>
      <w:strike w:val="0"/>
      <w:dstrike w:val="0"/>
      <w:color w:val="003399"/>
      <w:u w:val="none"/>
      <w:effect w:val="none"/>
    </w:rPr>
  </w:style>
  <w:style w:type="paragraph" w:customStyle="1" w:styleId="estilo1">
    <w:name w:val="estilo1"/>
    <w:basedOn w:val="Normal"/>
    <w:rsid w:val="001B7F27"/>
    <w:pPr>
      <w:spacing w:before="100" w:beforeAutospacing="1" w:after="100" w:afterAutospacing="1" w:line="240" w:lineRule="auto"/>
    </w:pPr>
    <w:rPr>
      <w:rFonts w:ascii="Times New Roman" w:eastAsia="Times New Roman" w:hAnsi="Times New Roman" w:cs="Times New Roman"/>
      <w:sz w:val="20"/>
      <w:szCs w:val="20"/>
      <w:lang w:eastAsia="es-AR"/>
    </w:rPr>
  </w:style>
  <w:style w:type="paragraph" w:customStyle="1" w:styleId="estilo2">
    <w:name w:val="estilo2"/>
    <w:basedOn w:val="Normal"/>
    <w:rsid w:val="001B7F27"/>
    <w:pPr>
      <w:spacing w:before="100" w:beforeAutospacing="1" w:after="100" w:afterAutospacing="1" w:line="240" w:lineRule="auto"/>
    </w:pPr>
    <w:rPr>
      <w:rFonts w:ascii="Times New Roman" w:eastAsia="Times New Roman" w:hAnsi="Times New Roman" w:cs="Times New Roman"/>
      <w:sz w:val="17"/>
      <w:szCs w:val="17"/>
      <w:lang w:eastAsia="es-AR"/>
    </w:rPr>
  </w:style>
  <w:style w:type="paragraph" w:customStyle="1" w:styleId="estilo3">
    <w:name w:val="estilo3"/>
    <w:basedOn w:val="Normal"/>
    <w:rsid w:val="001B7F27"/>
    <w:pPr>
      <w:spacing w:before="100" w:beforeAutospacing="1" w:after="100" w:afterAutospacing="1" w:line="240" w:lineRule="auto"/>
    </w:pPr>
    <w:rPr>
      <w:rFonts w:ascii="Times New Roman" w:eastAsia="Times New Roman" w:hAnsi="Times New Roman" w:cs="Times New Roman"/>
      <w:b/>
      <w:bCs/>
      <w:i/>
      <w:iCs/>
      <w:color w:val="009933"/>
      <w:sz w:val="24"/>
      <w:szCs w:val="24"/>
      <w:lang w:eastAsia="es-AR"/>
    </w:rPr>
  </w:style>
  <w:style w:type="paragraph" w:customStyle="1" w:styleId="estilo4">
    <w:name w:val="estilo4"/>
    <w:basedOn w:val="Normal"/>
    <w:rsid w:val="001B7F27"/>
    <w:pPr>
      <w:spacing w:before="100" w:beforeAutospacing="1" w:after="100" w:afterAutospacing="1" w:line="240" w:lineRule="auto"/>
    </w:pPr>
    <w:rPr>
      <w:rFonts w:ascii="Times New Roman" w:eastAsia="Times New Roman" w:hAnsi="Times New Roman" w:cs="Times New Roman"/>
      <w:b/>
      <w:bCs/>
      <w:color w:val="009933"/>
      <w:sz w:val="20"/>
      <w:szCs w:val="20"/>
      <w:lang w:eastAsia="es-AR"/>
    </w:rPr>
  </w:style>
  <w:style w:type="paragraph" w:customStyle="1" w:styleId="estilo5">
    <w:name w:val="estilo5"/>
    <w:basedOn w:val="Normal"/>
    <w:rsid w:val="001B7F27"/>
    <w:pPr>
      <w:spacing w:before="100" w:beforeAutospacing="1" w:after="100" w:afterAutospacing="1" w:line="240" w:lineRule="auto"/>
    </w:pPr>
    <w:rPr>
      <w:rFonts w:ascii="Times New Roman" w:eastAsia="Times New Roman" w:hAnsi="Times New Roman" w:cs="Times New Roman"/>
      <w:i/>
      <w:iCs/>
      <w:sz w:val="17"/>
      <w:szCs w:val="17"/>
      <w:lang w:eastAsia="es-AR"/>
    </w:rPr>
  </w:style>
  <w:style w:type="character" w:customStyle="1" w:styleId="estilo31">
    <w:name w:val="estilo31"/>
    <w:basedOn w:val="Fuentedeprrafopredeter"/>
    <w:rsid w:val="001B7F27"/>
    <w:rPr>
      <w:b/>
      <w:bCs/>
      <w:i/>
      <w:iCs/>
      <w:color w:val="009933"/>
      <w:sz w:val="24"/>
      <w:szCs w:val="24"/>
    </w:rPr>
  </w:style>
  <w:style w:type="character" w:customStyle="1" w:styleId="estilo11">
    <w:name w:val="estilo11"/>
    <w:basedOn w:val="Fuentedeprrafopredeter"/>
    <w:rsid w:val="001B7F27"/>
    <w:rPr>
      <w:sz w:val="20"/>
      <w:szCs w:val="20"/>
    </w:rPr>
  </w:style>
  <w:style w:type="character" w:customStyle="1" w:styleId="estilo21">
    <w:name w:val="estilo21"/>
    <w:basedOn w:val="Fuentedeprrafopredeter"/>
    <w:rsid w:val="001B7F27"/>
    <w:rPr>
      <w:sz w:val="17"/>
      <w:szCs w:val="17"/>
    </w:rPr>
  </w:style>
  <w:style w:type="character" w:styleId="nfasis">
    <w:name w:val="Emphasis"/>
    <w:basedOn w:val="Fuentedeprrafopredeter"/>
    <w:uiPriority w:val="20"/>
    <w:qFormat/>
    <w:rsid w:val="001B7F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B7F27"/>
    <w:rPr>
      <w:strike w:val="0"/>
      <w:dstrike w:val="0"/>
      <w:color w:val="003399"/>
      <w:u w:val="none"/>
      <w:effect w:val="none"/>
    </w:rPr>
  </w:style>
  <w:style w:type="paragraph" w:styleId="NormalWeb">
    <w:name w:val="Normal (Web)"/>
    <w:basedOn w:val="Normal"/>
    <w:uiPriority w:val="99"/>
    <w:unhideWhenUsed/>
    <w:rsid w:val="001B7F2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41">
    <w:name w:val="estilo41"/>
    <w:basedOn w:val="Fuentedeprrafopredeter"/>
    <w:rsid w:val="001B7F27"/>
    <w:rPr>
      <w:b/>
      <w:bCs/>
      <w:color w:val="009933"/>
      <w:sz w:val="20"/>
      <w:szCs w:val="20"/>
    </w:rPr>
  </w:style>
  <w:style w:type="character" w:styleId="Hipervnculovisitado">
    <w:name w:val="FollowedHyperlink"/>
    <w:basedOn w:val="Fuentedeprrafopredeter"/>
    <w:uiPriority w:val="99"/>
    <w:semiHidden/>
    <w:unhideWhenUsed/>
    <w:rsid w:val="001B7F27"/>
    <w:rPr>
      <w:strike w:val="0"/>
      <w:dstrike w:val="0"/>
      <w:color w:val="003399"/>
      <w:u w:val="none"/>
      <w:effect w:val="none"/>
    </w:rPr>
  </w:style>
  <w:style w:type="paragraph" w:customStyle="1" w:styleId="estilo1">
    <w:name w:val="estilo1"/>
    <w:basedOn w:val="Normal"/>
    <w:rsid w:val="001B7F27"/>
    <w:pPr>
      <w:spacing w:before="100" w:beforeAutospacing="1" w:after="100" w:afterAutospacing="1" w:line="240" w:lineRule="auto"/>
    </w:pPr>
    <w:rPr>
      <w:rFonts w:ascii="Times New Roman" w:eastAsia="Times New Roman" w:hAnsi="Times New Roman" w:cs="Times New Roman"/>
      <w:sz w:val="20"/>
      <w:szCs w:val="20"/>
      <w:lang w:eastAsia="es-AR"/>
    </w:rPr>
  </w:style>
  <w:style w:type="paragraph" w:customStyle="1" w:styleId="estilo2">
    <w:name w:val="estilo2"/>
    <w:basedOn w:val="Normal"/>
    <w:rsid w:val="001B7F27"/>
    <w:pPr>
      <w:spacing w:before="100" w:beforeAutospacing="1" w:after="100" w:afterAutospacing="1" w:line="240" w:lineRule="auto"/>
    </w:pPr>
    <w:rPr>
      <w:rFonts w:ascii="Times New Roman" w:eastAsia="Times New Roman" w:hAnsi="Times New Roman" w:cs="Times New Roman"/>
      <w:sz w:val="17"/>
      <w:szCs w:val="17"/>
      <w:lang w:eastAsia="es-AR"/>
    </w:rPr>
  </w:style>
  <w:style w:type="paragraph" w:customStyle="1" w:styleId="estilo3">
    <w:name w:val="estilo3"/>
    <w:basedOn w:val="Normal"/>
    <w:rsid w:val="001B7F27"/>
    <w:pPr>
      <w:spacing w:before="100" w:beforeAutospacing="1" w:after="100" w:afterAutospacing="1" w:line="240" w:lineRule="auto"/>
    </w:pPr>
    <w:rPr>
      <w:rFonts w:ascii="Times New Roman" w:eastAsia="Times New Roman" w:hAnsi="Times New Roman" w:cs="Times New Roman"/>
      <w:b/>
      <w:bCs/>
      <w:i/>
      <w:iCs/>
      <w:color w:val="009933"/>
      <w:sz w:val="24"/>
      <w:szCs w:val="24"/>
      <w:lang w:eastAsia="es-AR"/>
    </w:rPr>
  </w:style>
  <w:style w:type="paragraph" w:customStyle="1" w:styleId="estilo4">
    <w:name w:val="estilo4"/>
    <w:basedOn w:val="Normal"/>
    <w:rsid w:val="001B7F27"/>
    <w:pPr>
      <w:spacing w:before="100" w:beforeAutospacing="1" w:after="100" w:afterAutospacing="1" w:line="240" w:lineRule="auto"/>
    </w:pPr>
    <w:rPr>
      <w:rFonts w:ascii="Times New Roman" w:eastAsia="Times New Roman" w:hAnsi="Times New Roman" w:cs="Times New Roman"/>
      <w:b/>
      <w:bCs/>
      <w:color w:val="009933"/>
      <w:sz w:val="20"/>
      <w:szCs w:val="20"/>
      <w:lang w:eastAsia="es-AR"/>
    </w:rPr>
  </w:style>
  <w:style w:type="paragraph" w:customStyle="1" w:styleId="estilo5">
    <w:name w:val="estilo5"/>
    <w:basedOn w:val="Normal"/>
    <w:rsid w:val="001B7F27"/>
    <w:pPr>
      <w:spacing w:before="100" w:beforeAutospacing="1" w:after="100" w:afterAutospacing="1" w:line="240" w:lineRule="auto"/>
    </w:pPr>
    <w:rPr>
      <w:rFonts w:ascii="Times New Roman" w:eastAsia="Times New Roman" w:hAnsi="Times New Roman" w:cs="Times New Roman"/>
      <w:i/>
      <w:iCs/>
      <w:sz w:val="17"/>
      <w:szCs w:val="17"/>
      <w:lang w:eastAsia="es-AR"/>
    </w:rPr>
  </w:style>
  <w:style w:type="character" w:customStyle="1" w:styleId="estilo31">
    <w:name w:val="estilo31"/>
    <w:basedOn w:val="Fuentedeprrafopredeter"/>
    <w:rsid w:val="001B7F27"/>
    <w:rPr>
      <w:b/>
      <w:bCs/>
      <w:i/>
      <w:iCs/>
      <w:color w:val="009933"/>
      <w:sz w:val="24"/>
      <w:szCs w:val="24"/>
    </w:rPr>
  </w:style>
  <w:style w:type="character" w:customStyle="1" w:styleId="estilo11">
    <w:name w:val="estilo11"/>
    <w:basedOn w:val="Fuentedeprrafopredeter"/>
    <w:rsid w:val="001B7F27"/>
    <w:rPr>
      <w:sz w:val="20"/>
      <w:szCs w:val="20"/>
    </w:rPr>
  </w:style>
  <w:style w:type="character" w:customStyle="1" w:styleId="estilo21">
    <w:name w:val="estilo21"/>
    <w:basedOn w:val="Fuentedeprrafopredeter"/>
    <w:rsid w:val="001B7F27"/>
    <w:rPr>
      <w:sz w:val="17"/>
      <w:szCs w:val="17"/>
    </w:rPr>
  </w:style>
  <w:style w:type="character" w:styleId="nfasis">
    <w:name w:val="Emphasis"/>
    <w:basedOn w:val="Fuentedeprrafopredeter"/>
    <w:uiPriority w:val="20"/>
    <w:qFormat/>
    <w:rsid w:val="001B7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92564">
      <w:bodyDiv w:val="1"/>
      <w:marLeft w:val="0"/>
      <w:marRight w:val="0"/>
      <w:marTop w:val="0"/>
      <w:marBottom w:val="0"/>
      <w:divBdr>
        <w:top w:val="none" w:sz="0" w:space="0" w:color="auto"/>
        <w:left w:val="none" w:sz="0" w:space="0" w:color="auto"/>
        <w:bottom w:val="none" w:sz="0" w:space="0" w:color="auto"/>
        <w:right w:val="none" w:sz="0" w:space="0" w:color="auto"/>
      </w:divBdr>
    </w:div>
    <w:div w:id="182026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AutoPlay\Docs\2002_2.html" TargetMode="External"/><Relationship Id="rId18" Type="http://schemas.openxmlformats.org/officeDocument/2006/relationships/hyperlink" Target="file:///D:\AutoPlay\Docs\2002_2.html" TargetMode="External"/><Relationship Id="rId26" Type="http://schemas.openxmlformats.org/officeDocument/2006/relationships/hyperlink" Target="file:///D:\AutoPlay\Docs\2002_2.html" TargetMode="External"/><Relationship Id="rId39" Type="http://schemas.openxmlformats.org/officeDocument/2006/relationships/hyperlink" Target="file:///D:\AutoPlay\Docs\2002_2.html" TargetMode="External"/><Relationship Id="rId21" Type="http://schemas.openxmlformats.org/officeDocument/2006/relationships/hyperlink" Target="file:///D:\AutoPlay\Docs\2002_2.html" TargetMode="External"/><Relationship Id="rId34" Type="http://schemas.openxmlformats.org/officeDocument/2006/relationships/hyperlink" Target="file:///D:\AutoPlay\Docs\2002_2.html" TargetMode="External"/><Relationship Id="rId42" Type="http://schemas.openxmlformats.org/officeDocument/2006/relationships/hyperlink" Target="file:///D:\AutoPlay\Docs\2002_2.html" TargetMode="External"/><Relationship Id="rId47" Type="http://schemas.openxmlformats.org/officeDocument/2006/relationships/hyperlink" Target="file:///D:\AutoPlay\Docs\2002_2.html" TargetMode="External"/><Relationship Id="rId50" Type="http://schemas.openxmlformats.org/officeDocument/2006/relationships/hyperlink" Target="file:///D:\AutoPlay\Docs\2002_2.html" TargetMode="External"/><Relationship Id="rId55" Type="http://schemas.openxmlformats.org/officeDocument/2006/relationships/hyperlink" Target="file:///D:\AutoPlay\Docs\2002_2.html" TargetMode="External"/><Relationship Id="rId63" Type="http://schemas.openxmlformats.org/officeDocument/2006/relationships/hyperlink" Target="file:///D:\AutoPlay\Docs\2002_2.html" TargetMode="External"/><Relationship Id="rId68" Type="http://schemas.openxmlformats.org/officeDocument/2006/relationships/hyperlink" Target="file:///D:\AutoPlay\Docs\2002_2.html" TargetMode="External"/><Relationship Id="rId76" Type="http://schemas.openxmlformats.org/officeDocument/2006/relationships/hyperlink" Target="file:///D:\AutoPlay\Docs\2002_2.html" TargetMode="External"/><Relationship Id="rId84" Type="http://schemas.openxmlformats.org/officeDocument/2006/relationships/hyperlink" Target="file:///D:\AutoPlay\Docs\2002_2.html" TargetMode="External"/><Relationship Id="rId89" Type="http://schemas.openxmlformats.org/officeDocument/2006/relationships/hyperlink" Target="file:///D:\AutoPlay\Docs\2002_2.html" TargetMode="External"/><Relationship Id="rId7" Type="http://schemas.openxmlformats.org/officeDocument/2006/relationships/hyperlink" Target="file:///D:\AutoPlay\Docs\2002_2.html" TargetMode="External"/><Relationship Id="rId71" Type="http://schemas.openxmlformats.org/officeDocument/2006/relationships/hyperlink" Target="file:///D:\AutoPlay\Docs\2002_2.html" TargetMode="External"/><Relationship Id="rId92" Type="http://schemas.openxmlformats.org/officeDocument/2006/relationships/hyperlink" Target="file:///D:\AutoPlay\Docs\2002_2.html" TargetMode="External"/><Relationship Id="rId2" Type="http://schemas.microsoft.com/office/2007/relationships/stylesWithEffects" Target="stylesWithEffects.xml"/><Relationship Id="rId16" Type="http://schemas.openxmlformats.org/officeDocument/2006/relationships/hyperlink" Target="file:///D:\AutoPlay\Docs\2002_2.html" TargetMode="External"/><Relationship Id="rId29" Type="http://schemas.openxmlformats.org/officeDocument/2006/relationships/hyperlink" Target="file:///D:\AutoPlay\Docs\2002_2.html" TargetMode="External"/><Relationship Id="rId11" Type="http://schemas.openxmlformats.org/officeDocument/2006/relationships/hyperlink" Target="file:///D:\AutoPlay\Docs\2002_2.html" TargetMode="External"/><Relationship Id="rId24" Type="http://schemas.openxmlformats.org/officeDocument/2006/relationships/hyperlink" Target="file:///D:\AutoPlay\Docs\2002_2.html" TargetMode="External"/><Relationship Id="rId32" Type="http://schemas.openxmlformats.org/officeDocument/2006/relationships/hyperlink" Target="file:///D:\AutoPlay\Docs\2002_2.html" TargetMode="External"/><Relationship Id="rId37" Type="http://schemas.openxmlformats.org/officeDocument/2006/relationships/hyperlink" Target="file:///D:\AutoPlay\Docs\2002_2.html" TargetMode="External"/><Relationship Id="rId40" Type="http://schemas.openxmlformats.org/officeDocument/2006/relationships/hyperlink" Target="file:///D:\AutoPlay\Docs\2002_2.html" TargetMode="External"/><Relationship Id="rId45" Type="http://schemas.openxmlformats.org/officeDocument/2006/relationships/hyperlink" Target="file:///D:\AutoPlay\Docs\2002_2.html" TargetMode="External"/><Relationship Id="rId53" Type="http://schemas.openxmlformats.org/officeDocument/2006/relationships/hyperlink" Target="file:///D:\AutoPlay\Docs\2002_2.html" TargetMode="External"/><Relationship Id="rId58" Type="http://schemas.openxmlformats.org/officeDocument/2006/relationships/hyperlink" Target="file:///D:\AutoPlay\Docs\2002_2.html" TargetMode="External"/><Relationship Id="rId66" Type="http://schemas.openxmlformats.org/officeDocument/2006/relationships/hyperlink" Target="file:///D:\AutoPlay\Docs\2002_2.html" TargetMode="External"/><Relationship Id="rId74" Type="http://schemas.openxmlformats.org/officeDocument/2006/relationships/hyperlink" Target="file:///D:\AutoPlay\Docs\2002_2.html" TargetMode="External"/><Relationship Id="rId79" Type="http://schemas.openxmlformats.org/officeDocument/2006/relationships/hyperlink" Target="file:///D:\AutoPlay\Docs\2002_2.html" TargetMode="External"/><Relationship Id="rId87" Type="http://schemas.openxmlformats.org/officeDocument/2006/relationships/hyperlink" Target="file:///D:\AutoPlay\Docs\2002_2.html" TargetMode="External"/><Relationship Id="rId5" Type="http://schemas.openxmlformats.org/officeDocument/2006/relationships/hyperlink" Target="file:///D:\AutoPlay\Docs\2002_2.html" TargetMode="External"/><Relationship Id="rId61" Type="http://schemas.openxmlformats.org/officeDocument/2006/relationships/hyperlink" Target="file:///D:\AutoPlay\Docs\2002_2.html" TargetMode="External"/><Relationship Id="rId82" Type="http://schemas.openxmlformats.org/officeDocument/2006/relationships/hyperlink" Target="file:///D:\AutoPlay\Docs\2002_2.html" TargetMode="External"/><Relationship Id="rId90" Type="http://schemas.openxmlformats.org/officeDocument/2006/relationships/hyperlink" Target="file:///D:\AutoPlay\Docs\2002_2.html" TargetMode="External"/><Relationship Id="rId95" Type="http://schemas.openxmlformats.org/officeDocument/2006/relationships/fontTable" Target="fontTable.xml"/><Relationship Id="rId19" Type="http://schemas.openxmlformats.org/officeDocument/2006/relationships/hyperlink" Target="file:///D:\AutoPlay\Docs\2002_2.html" TargetMode="External"/><Relationship Id="rId14" Type="http://schemas.openxmlformats.org/officeDocument/2006/relationships/hyperlink" Target="file:///D:\AutoPlay\Docs\2002_2.html" TargetMode="External"/><Relationship Id="rId22" Type="http://schemas.openxmlformats.org/officeDocument/2006/relationships/hyperlink" Target="file:///D:\AutoPlay\Docs\2002_2.html" TargetMode="External"/><Relationship Id="rId27" Type="http://schemas.openxmlformats.org/officeDocument/2006/relationships/hyperlink" Target="file:///D:\AutoPlay\Docs\2002_2.html" TargetMode="External"/><Relationship Id="rId30" Type="http://schemas.openxmlformats.org/officeDocument/2006/relationships/hyperlink" Target="file:///D:\AutoPlay\Docs\2002_2.html" TargetMode="External"/><Relationship Id="rId35" Type="http://schemas.openxmlformats.org/officeDocument/2006/relationships/hyperlink" Target="file:///D:\AutoPlay\Docs\2002_2.html" TargetMode="External"/><Relationship Id="rId43" Type="http://schemas.openxmlformats.org/officeDocument/2006/relationships/hyperlink" Target="file:///D:\AutoPlay\Docs\2002_2.html" TargetMode="External"/><Relationship Id="rId48" Type="http://schemas.openxmlformats.org/officeDocument/2006/relationships/hyperlink" Target="file:///D:\AutoPlay\Docs\2002_2.html" TargetMode="External"/><Relationship Id="rId56" Type="http://schemas.openxmlformats.org/officeDocument/2006/relationships/hyperlink" Target="file:///D:\AutoPlay\Docs\2002_2.html" TargetMode="External"/><Relationship Id="rId64" Type="http://schemas.openxmlformats.org/officeDocument/2006/relationships/hyperlink" Target="file:///D:\AutoPlay\Docs\2002_2.html" TargetMode="External"/><Relationship Id="rId69" Type="http://schemas.openxmlformats.org/officeDocument/2006/relationships/hyperlink" Target="file:///D:\AutoPlay\Docs\2002_2.html" TargetMode="External"/><Relationship Id="rId77" Type="http://schemas.openxmlformats.org/officeDocument/2006/relationships/hyperlink" Target="file:///D:\AutoPlay\Docs\2002_2.html" TargetMode="External"/><Relationship Id="rId8" Type="http://schemas.openxmlformats.org/officeDocument/2006/relationships/hyperlink" Target="file:///D:\AutoPlay\Docs\2002_2.html" TargetMode="External"/><Relationship Id="rId51" Type="http://schemas.openxmlformats.org/officeDocument/2006/relationships/hyperlink" Target="file:///D:\AutoPlay\Docs\2002_2.html" TargetMode="External"/><Relationship Id="rId72" Type="http://schemas.openxmlformats.org/officeDocument/2006/relationships/hyperlink" Target="file:///D:\AutoPlay\Docs\2002_2.html" TargetMode="External"/><Relationship Id="rId80" Type="http://schemas.openxmlformats.org/officeDocument/2006/relationships/hyperlink" Target="file:///D:\AutoPlay\Docs\2002_2.html" TargetMode="External"/><Relationship Id="rId85" Type="http://schemas.openxmlformats.org/officeDocument/2006/relationships/hyperlink" Target="file:///D:\AutoPlay\Docs\2002_2.html" TargetMode="External"/><Relationship Id="rId93" Type="http://schemas.openxmlformats.org/officeDocument/2006/relationships/hyperlink" Target="file:///D:\AutoPlay\Docs\2002_2.html" TargetMode="External"/><Relationship Id="rId3" Type="http://schemas.openxmlformats.org/officeDocument/2006/relationships/settings" Target="settings.xml"/><Relationship Id="rId12" Type="http://schemas.openxmlformats.org/officeDocument/2006/relationships/hyperlink" Target="file:///D:\AutoPlay\Docs\2002_2.html" TargetMode="External"/><Relationship Id="rId17" Type="http://schemas.openxmlformats.org/officeDocument/2006/relationships/hyperlink" Target="file:///D:\AutoPlay\Docs\2002_2.html" TargetMode="External"/><Relationship Id="rId25" Type="http://schemas.openxmlformats.org/officeDocument/2006/relationships/hyperlink" Target="file:///D:\AutoPlay\Docs\2002_2.html" TargetMode="External"/><Relationship Id="rId33" Type="http://schemas.openxmlformats.org/officeDocument/2006/relationships/hyperlink" Target="file:///D:\AutoPlay\Docs\2002_2.html" TargetMode="External"/><Relationship Id="rId38" Type="http://schemas.openxmlformats.org/officeDocument/2006/relationships/hyperlink" Target="file:///D:\AutoPlay\Docs\2002_2.html" TargetMode="External"/><Relationship Id="rId46" Type="http://schemas.openxmlformats.org/officeDocument/2006/relationships/hyperlink" Target="file:///D:\AutoPlay\Docs\2002_2.html" TargetMode="External"/><Relationship Id="rId59" Type="http://schemas.openxmlformats.org/officeDocument/2006/relationships/hyperlink" Target="file:///D:\AutoPlay\Docs\2002_2.html" TargetMode="External"/><Relationship Id="rId67" Type="http://schemas.openxmlformats.org/officeDocument/2006/relationships/hyperlink" Target="file:///D:\AutoPlay\Docs\2002_2.html" TargetMode="External"/><Relationship Id="rId20" Type="http://schemas.openxmlformats.org/officeDocument/2006/relationships/hyperlink" Target="file:///D:\AutoPlay\Docs\2002_2.html" TargetMode="External"/><Relationship Id="rId41" Type="http://schemas.openxmlformats.org/officeDocument/2006/relationships/hyperlink" Target="file:///D:\AutoPlay\Docs\2002_2.html" TargetMode="External"/><Relationship Id="rId54" Type="http://schemas.openxmlformats.org/officeDocument/2006/relationships/hyperlink" Target="file:///D:\AutoPlay\Docs\2002_2.html" TargetMode="External"/><Relationship Id="rId62" Type="http://schemas.openxmlformats.org/officeDocument/2006/relationships/hyperlink" Target="file:///D:\AutoPlay\Docs\2002_2.html" TargetMode="External"/><Relationship Id="rId70" Type="http://schemas.openxmlformats.org/officeDocument/2006/relationships/hyperlink" Target="file:///D:\AutoPlay\Docs\2002_2.html" TargetMode="External"/><Relationship Id="rId75" Type="http://schemas.openxmlformats.org/officeDocument/2006/relationships/hyperlink" Target="file:///D:\AutoPlay\Docs\2002_2.html" TargetMode="External"/><Relationship Id="rId83" Type="http://schemas.openxmlformats.org/officeDocument/2006/relationships/hyperlink" Target="file:///D:\AutoPlay\Docs\2002_2.html" TargetMode="External"/><Relationship Id="rId88" Type="http://schemas.openxmlformats.org/officeDocument/2006/relationships/hyperlink" Target="file:///D:\AutoPlay\Docs\2002_2.html" TargetMode="External"/><Relationship Id="rId91" Type="http://schemas.openxmlformats.org/officeDocument/2006/relationships/hyperlink" Target="file:///D:\AutoPlay\Docs\2002_2.html"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D:\AutoPlay\Docs\2002_2.html" TargetMode="External"/><Relationship Id="rId15" Type="http://schemas.openxmlformats.org/officeDocument/2006/relationships/hyperlink" Target="file:///D:\AutoPlay\Docs\2002_2.html" TargetMode="External"/><Relationship Id="rId23" Type="http://schemas.openxmlformats.org/officeDocument/2006/relationships/hyperlink" Target="file:///D:\AutoPlay\Docs\2002_2.html" TargetMode="External"/><Relationship Id="rId28" Type="http://schemas.openxmlformats.org/officeDocument/2006/relationships/hyperlink" Target="file:///D:\AutoPlay\Docs\2002_2.html" TargetMode="External"/><Relationship Id="rId36" Type="http://schemas.openxmlformats.org/officeDocument/2006/relationships/hyperlink" Target="file:///D:\AutoPlay\Docs\2002_2.html" TargetMode="External"/><Relationship Id="rId49" Type="http://schemas.openxmlformats.org/officeDocument/2006/relationships/hyperlink" Target="file:///D:\AutoPlay\Docs\2002_2.html" TargetMode="External"/><Relationship Id="rId57" Type="http://schemas.openxmlformats.org/officeDocument/2006/relationships/hyperlink" Target="file:///D:\AutoPlay\Docs\2002_2.html" TargetMode="External"/><Relationship Id="rId10" Type="http://schemas.openxmlformats.org/officeDocument/2006/relationships/hyperlink" Target="file:///D:\AutoPlay\Docs\2002_2.html" TargetMode="External"/><Relationship Id="rId31" Type="http://schemas.openxmlformats.org/officeDocument/2006/relationships/hyperlink" Target="file:///D:\AutoPlay\Docs\2002_2.html" TargetMode="External"/><Relationship Id="rId44" Type="http://schemas.openxmlformats.org/officeDocument/2006/relationships/hyperlink" Target="file:///D:\AutoPlay\Docs\2002_2.html" TargetMode="External"/><Relationship Id="rId52" Type="http://schemas.openxmlformats.org/officeDocument/2006/relationships/hyperlink" Target="file:///D:\AutoPlay\Docs\2002_2.html" TargetMode="External"/><Relationship Id="rId60" Type="http://schemas.openxmlformats.org/officeDocument/2006/relationships/hyperlink" Target="file:///D:\AutoPlay\Docs\2002_2.html" TargetMode="External"/><Relationship Id="rId65" Type="http://schemas.openxmlformats.org/officeDocument/2006/relationships/hyperlink" Target="file:///D:\AutoPlay\Docs\2002_2.html" TargetMode="External"/><Relationship Id="rId73" Type="http://schemas.openxmlformats.org/officeDocument/2006/relationships/hyperlink" Target="file:///D:\AutoPlay\Docs\2002_2.html" TargetMode="External"/><Relationship Id="rId78" Type="http://schemas.openxmlformats.org/officeDocument/2006/relationships/hyperlink" Target="file:///D:\AutoPlay\Docs\2002_2.html" TargetMode="External"/><Relationship Id="rId81" Type="http://schemas.openxmlformats.org/officeDocument/2006/relationships/hyperlink" Target="file:///D:\AutoPlay\Docs\2002_2.html" TargetMode="External"/><Relationship Id="rId86" Type="http://schemas.openxmlformats.org/officeDocument/2006/relationships/hyperlink" Target="file:///D:\AutoPlay\Docs\2002_2.html" TargetMode="External"/><Relationship Id="rId94" Type="http://schemas.openxmlformats.org/officeDocument/2006/relationships/hyperlink" Target="file:///D:\AutoPlay\Docs\2002_2.html" TargetMode="External"/><Relationship Id="rId4" Type="http://schemas.openxmlformats.org/officeDocument/2006/relationships/webSettings" Target="webSettings.xml"/><Relationship Id="rId9" Type="http://schemas.openxmlformats.org/officeDocument/2006/relationships/hyperlink" Target="file:///D:\AutoPlay\Docs\2002_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299</Pages>
  <Words>225281</Words>
  <Characters>1239046</Characters>
  <Application>Microsoft Office Word</Application>
  <DocSecurity>0</DocSecurity>
  <Lines>10325</Lines>
  <Paragraphs>2922</Paragraphs>
  <ScaleCrop>false</ScaleCrop>
  <Company/>
  <LinksUpToDate>false</LinksUpToDate>
  <CharactersWithSpaces>1461405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edicion9</dc:creator>
  <cp:lastModifiedBy>edicion9</cp:lastModifiedBy>
  <cp:revision>1</cp:revision>
  <dcterms:created xsi:type="dcterms:W3CDTF">2016-02-23T12:18:00Z</dcterms:created>
  <dcterms:modified xsi:type="dcterms:W3CDTF">2016-02-23T12:24:00Z</dcterms:modified>
</cp:coreProperties>
</file>