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0" w:name="arriba"/>
      <w:bookmarkEnd w:id="0"/>
      <w:r w:rsidRPr="00EB097F">
        <w:rPr>
          <w:rFonts w:ascii="Arial" w:eastAsia="Times New Roman" w:hAnsi="Arial" w:cs="Arial"/>
          <w:b/>
          <w:bCs/>
          <w:i/>
          <w:iCs/>
          <w:color w:val="009933"/>
          <w:sz w:val="24"/>
          <w:szCs w:val="24"/>
          <w:u w:val="single"/>
          <w:lang w:eastAsia="es-AR"/>
        </w:rPr>
        <w:t>Temas:</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hyperlink r:id="rId5" w:anchor="1" w:history="1">
        <w:r w:rsidRPr="00EB097F">
          <w:rPr>
            <w:rFonts w:ascii="Arial" w:eastAsia="Times New Roman" w:hAnsi="Arial" w:cs="Arial"/>
            <w:color w:val="003399"/>
            <w:sz w:val="21"/>
            <w:szCs w:val="21"/>
            <w:lang w:eastAsia="es-AR"/>
          </w:rPr>
          <w:t>"¿EXISTE TODAVÍA UNA FILOSOFÍA DEL DERECHO?"</w:t>
        </w:r>
      </w:hyperlink>
      <w:r w:rsidRPr="00EB097F">
        <w:rPr>
          <w:rFonts w:ascii="Arial" w:eastAsia="Times New Roman" w:hAnsi="Arial" w:cs="Arial"/>
          <w:color w:val="003399"/>
          <w:sz w:val="17"/>
          <w:szCs w:val="17"/>
          <w:lang w:eastAsia="es-AR"/>
        </w:rPr>
        <w:br/>
        <w:t>Juan Carlos Mendonça B.</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21"/>
          <w:szCs w:val="21"/>
          <w:lang w:eastAsia="es-AR"/>
        </w:rPr>
        <w:br/>
      </w:r>
      <w:hyperlink r:id="rId6" w:anchor="2" w:history="1">
        <w:r w:rsidRPr="00EB097F">
          <w:rPr>
            <w:rFonts w:ascii="Arial" w:eastAsia="Times New Roman" w:hAnsi="Arial" w:cs="Arial"/>
            <w:color w:val="003399"/>
            <w:sz w:val="21"/>
            <w:szCs w:val="21"/>
            <w:lang w:eastAsia="es-AR"/>
          </w:rPr>
          <w:t>"HACIA UNA INTEGRACIÓN CONTINENTAL, NAFTA Y EL MERCOSUR"</w:t>
        </w:r>
      </w:hyperlink>
      <w:r w:rsidRPr="00EB097F">
        <w:rPr>
          <w:rFonts w:ascii="Arial" w:eastAsia="Times New Roman" w:hAnsi="Arial" w:cs="Arial"/>
          <w:color w:val="003399"/>
          <w:sz w:val="17"/>
          <w:szCs w:val="17"/>
          <w:lang w:eastAsia="es-AR"/>
        </w:rPr>
        <w:br/>
        <w:t>Alonso María Velázquez Argaña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7" w:anchor="3" w:history="1">
        <w:r w:rsidRPr="00EB097F">
          <w:rPr>
            <w:rFonts w:ascii="Arial" w:eastAsia="Times New Roman" w:hAnsi="Arial" w:cs="Arial"/>
            <w:color w:val="003399"/>
            <w:sz w:val="21"/>
            <w:szCs w:val="21"/>
            <w:lang w:eastAsia="es-AR"/>
          </w:rPr>
          <w:t>"ANTECEDENTES DE LA DECLARACIÓN DE INDEPENDENCIA DEL PARAGUAY"</w:t>
        </w:r>
      </w:hyperlink>
      <w:r w:rsidRPr="00EB097F">
        <w:rPr>
          <w:rFonts w:ascii="Arial" w:eastAsia="Times New Roman" w:hAnsi="Arial" w:cs="Arial"/>
          <w:color w:val="003399"/>
          <w:sz w:val="17"/>
          <w:szCs w:val="17"/>
          <w:lang w:eastAsia="es-AR"/>
        </w:rPr>
        <w:br/>
        <w:t>Ricardo Scavone Yegros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8" w:anchor="4" w:history="1">
        <w:r w:rsidRPr="00EB097F">
          <w:rPr>
            <w:rFonts w:ascii="Arial" w:eastAsia="Times New Roman" w:hAnsi="Arial" w:cs="Arial"/>
            <w:color w:val="003399"/>
            <w:sz w:val="21"/>
            <w:szCs w:val="21"/>
            <w:lang w:eastAsia="es-AR"/>
          </w:rPr>
          <w:t>"AUTONOMÍA DE LA VOLUNTAD"</w:t>
        </w:r>
      </w:hyperlink>
      <w:r w:rsidRPr="00EB097F">
        <w:rPr>
          <w:rFonts w:ascii="Arial" w:eastAsia="Times New Roman" w:hAnsi="Arial" w:cs="Arial"/>
          <w:color w:val="003399"/>
          <w:sz w:val="17"/>
          <w:szCs w:val="17"/>
          <w:lang w:eastAsia="es-AR"/>
        </w:rPr>
        <w:br/>
        <w:t>Zenaida Escobar Balbuena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9" w:anchor="5" w:history="1">
        <w:r w:rsidRPr="00EB097F">
          <w:rPr>
            <w:rFonts w:ascii="Arial" w:eastAsia="Times New Roman" w:hAnsi="Arial" w:cs="Arial"/>
            <w:color w:val="003399"/>
            <w:sz w:val="21"/>
            <w:szCs w:val="21"/>
            <w:lang w:eastAsia="es-AR"/>
          </w:rPr>
          <w:t>"EL DERECHO INTERNACIONAL HUMANITARIO Y EL DENOMINADO DERECHO DE INJERENCIA HUMANITARIA"</w:t>
        </w:r>
      </w:hyperlink>
      <w:r w:rsidRPr="00EB097F">
        <w:rPr>
          <w:rFonts w:ascii="Arial" w:eastAsia="Times New Roman" w:hAnsi="Arial" w:cs="Arial"/>
          <w:color w:val="003399"/>
          <w:sz w:val="17"/>
          <w:szCs w:val="17"/>
          <w:lang w:eastAsia="es-AR"/>
        </w:rPr>
        <w:br/>
        <w:t>SUSANA FRAIDENRAIJ</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0" w:anchor="6" w:history="1">
        <w:r w:rsidRPr="00EB097F">
          <w:rPr>
            <w:rFonts w:ascii="Arial" w:eastAsia="Times New Roman" w:hAnsi="Arial" w:cs="Arial"/>
            <w:color w:val="003399"/>
            <w:sz w:val="21"/>
            <w:szCs w:val="21"/>
            <w:lang w:eastAsia="es-AR"/>
          </w:rPr>
          <w:t>"EL EMBRION HUMANO ES SUJETO DE DERECHO"</w:t>
        </w:r>
      </w:hyperlink>
      <w:r w:rsidRPr="00EB097F">
        <w:rPr>
          <w:rFonts w:ascii="Arial" w:eastAsia="Times New Roman" w:hAnsi="Arial" w:cs="Arial"/>
          <w:color w:val="003399"/>
          <w:sz w:val="17"/>
          <w:szCs w:val="17"/>
          <w:lang w:eastAsia="es-AR"/>
        </w:rPr>
        <w:br/>
        <w:t>Stella Ortiz de Zarza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1" w:anchor="7" w:history="1">
        <w:r w:rsidRPr="00EB097F">
          <w:rPr>
            <w:rFonts w:ascii="Arial" w:eastAsia="Times New Roman" w:hAnsi="Arial" w:cs="Arial"/>
            <w:color w:val="003399"/>
            <w:sz w:val="21"/>
            <w:szCs w:val="21"/>
            <w:lang w:eastAsia="es-AR"/>
          </w:rPr>
          <w:t>"EL EQUILIBRIO EUROPEO"</w:t>
        </w:r>
      </w:hyperlink>
      <w:r w:rsidRPr="00EB097F">
        <w:rPr>
          <w:rFonts w:ascii="Arial" w:eastAsia="Times New Roman" w:hAnsi="Arial" w:cs="Arial"/>
          <w:color w:val="003399"/>
          <w:sz w:val="17"/>
          <w:szCs w:val="17"/>
          <w:lang w:eastAsia="es-AR"/>
        </w:rPr>
        <w:br/>
        <w:t>Emilio Ayala Añazco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2" w:anchor="8" w:history="1">
        <w:r w:rsidRPr="00EB097F">
          <w:rPr>
            <w:rFonts w:ascii="Arial" w:eastAsia="Times New Roman" w:hAnsi="Arial" w:cs="Arial"/>
            <w:color w:val="003399"/>
            <w:sz w:val="21"/>
            <w:szCs w:val="21"/>
            <w:lang w:eastAsia="es-AR"/>
          </w:rPr>
          <w:t>"EL SISTEMA DE SEGURIDAD SOCIAL EN EL PARAGUAY"</w:t>
        </w:r>
      </w:hyperlink>
      <w:r w:rsidRPr="00EB097F">
        <w:rPr>
          <w:rFonts w:ascii="Arial" w:eastAsia="Times New Roman" w:hAnsi="Arial" w:cs="Arial"/>
          <w:color w:val="003399"/>
          <w:sz w:val="17"/>
          <w:szCs w:val="17"/>
          <w:lang w:eastAsia="es-AR"/>
        </w:rPr>
        <w:br/>
        <w:t>PEsteban Kriskovich De Vargas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3" w:anchor="9" w:history="1">
        <w:r w:rsidRPr="00EB097F">
          <w:rPr>
            <w:rFonts w:ascii="Arial" w:eastAsia="Times New Roman" w:hAnsi="Arial" w:cs="Arial"/>
            <w:color w:val="003399"/>
            <w:sz w:val="21"/>
            <w:szCs w:val="21"/>
            <w:lang w:eastAsia="es-AR"/>
          </w:rPr>
          <w:t>"IMPACTOS DE LA CONSTITUCIÓN DE 1992 EN EL ÁMBITO CULTURAL ANÁLISIS DE LA EFICACIA CONSTITUCIONAL, A DOS AÑOS DE SU PROMULGACIÓN, DESDE LA ÓPTICA CULTURAL"</w:t>
        </w:r>
      </w:hyperlink>
      <w:r w:rsidRPr="00EB097F">
        <w:rPr>
          <w:rFonts w:ascii="Arial" w:eastAsia="Times New Roman" w:hAnsi="Arial" w:cs="Arial"/>
          <w:color w:val="003399"/>
          <w:sz w:val="17"/>
          <w:szCs w:val="17"/>
          <w:lang w:eastAsia="es-AR"/>
        </w:rPr>
        <w:br/>
        <w:t>Rafael Dendia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4" w:anchor="10" w:history="1">
        <w:r w:rsidRPr="00EB097F">
          <w:rPr>
            <w:rFonts w:ascii="Arial" w:eastAsia="Times New Roman" w:hAnsi="Arial" w:cs="Arial"/>
            <w:color w:val="003399"/>
            <w:sz w:val="21"/>
            <w:szCs w:val="21"/>
            <w:lang w:eastAsia="es-AR"/>
          </w:rPr>
          <w:t>"INFORMATICA VS. DERECHOS HUMANOS ¿PROTECCION JURIDICA PARA LA INFORMACION O PARA EL SER HUMANO?"</w:t>
        </w:r>
      </w:hyperlink>
      <w:r w:rsidRPr="00EB097F">
        <w:rPr>
          <w:rFonts w:ascii="Arial" w:eastAsia="Times New Roman" w:hAnsi="Arial" w:cs="Arial"/>
          <w:color w:val="003399"/>
          <w:sz w:val="17"/>
          <w:szCs w:val="17"/>
          <w:lang w:eastAsia="es-AR"/>
        </w:rPr>
        <w:br/>
        <w:t>Gloria Alice Cartes Blanco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5" w:anchor="11" w:history="1">
        <w:r w:rsidRPr="00EB097F">
          <w:rPr>
            <w:rFonts w:ascii="Arial" w:eastAsia="Times New Roman" w:hAnsi="Arial" w:cs="Arial"/>
            <w:color w:val="003399"/>
            <w:sz w:val="21"/>
            <w:szCs w:val="21"/>
            <w:lang w:eastAsia="es-AR"/>
          </w:rPr>
          <w:t>"LA ADOPCION INTERNACIONAL PERSPECTIVA DESDE EL DERECHO INTERNACIONAL PRIVADO"</w:t>
        </w:r>
      </w:hyperlink>
      <w:r w:rsidRPr="00EB097F">
        <w:rPr>
          <w:rFonts w:ascii="Arial" w:eastAsia="Times New Roman" w:hAnsi="Arial" w:cs="Arial"/>
          <w:color w:val="003399"/>
          <w:sz w:val="17"/>
          <w:szCs w:val="17"/>
          <w:lang w:eastAsia="es-AR"/>
        </w:rPr>
        <w:br/>
        <w:t>Roberto Ruiz Díaz Labrano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6" w:anchor="12" w:history="1">
        <w:r w:rsidRPr="00EB097F">
          <w:rPr>
            <w:rFonts w:ascii="Arial" w:eastAsia="Times New Roman" w:hAnsi="Arial" w:cs="Arial"/>
            <w:color w:val="003399"/>
            <w:sz w:val="21"/>
            <w:szCs w:val="21"/>
            <w:lang w:eastAsia="es-AR"/>
          </w:rPr>
          <w:t>"LA CONSTITUCION ES LA LEY DE LAS LEYES"</w:t>
        </w:r>
      </w:hyperlink>
      <w:r w:rsidRPr="00EB097F">
        <w:rPr>
          <w:rFonts w:ascii="Arial" w:eastAsia="Times New Roman" w:hAnsi="Arial" w:cs="Arial"/>
          <w:color w:val="003399"/>
          <w:sz w:val="17"/>
          <w:szCs w:val="17"/>
          <w:lang w:eastAsia="es-AR"/>
        </w:rPr>
        <w:br/>
        <w:t>Elisa V. Aquino Laterza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7" w:anchor="13" w:history="1">
        <w:r w:rsidRPr="00EB097F">
          <w:rPr>
            <w:rFonts w:ascii="Arial" w:eastAsia="Times New Roman" w:hAnsi="Arial" w:cs="Arial"/>
            <w:color w:val="003399"/>
            <w:sz w:val="21"/>
            <w:szCs w:val="21"/>
            <w:lang w:eastAsia="es-AR"/>
          </w:rPr>
          <w:t>"LA CONSTITUCION PARAGUAYA Y LAS RELACIONES INTERNACIONALES"</w:t>
        </w:r>
      </w:hyperlink>
      <w:r w:rsidRPr="00EB097F">
        <w:rPr>
          <w:rFonts w:ascii="Arial" w:eastAsia="Times New Roman" w:hAnsi="Arial" w:cs="Arial"/>
          <w:color w:val="003399"/>
          <w:sz w:val="17"/>
          <w:szCs w:val="17"/>
          <w:lang w:eastAsia="es-AR"/>
        </w:rPr>
        <w:br/>
        <w:t>José Félix Fernández Estigarribia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8" w:anchor="14" w:history="1">
        <w:r w:rsidRPr="00EB097F">
          <w:rPr>
            <w:rFonts w:ascii="Arial" w:eastAsia="Times New Roman" w:hAnsi="Arial" w:cs="Arial"/>
            <w:color w:val="003399"/>
            <w:sz w:val="21"/>
            <w:szCs w:val="21"/>
            <w:lang w:eastAsia="es-AR"/>
          </w:rPr>
          <w:t>"LA CREACIÓN POR LA ORGANIZACIÓN DE LAS NACIONES UNIDAS DE UN TRIBUNAL PENAL INTERNACIONAL PARA LA ANTIGUA YUGOSLAVIA: ¿UN FRACASO DEL SISTEMA DE SEGURIDAD COLECTIVA?"</w:t>
        </w:r>
      </w:hyperlink>
      <w:r w:rsidRPr="00EB097F">
        <w:rPr>
          <w:rFonts w:ascii="Arial" w:eastAsia="Times New Roman" w:hAnsi="Arial" w:cs="Arial"/>
          <w:color w:val="003399"/>
          <w:sz w:val="17"/>
          <w:szCs w:val="17"/>
          <w:lang w:eastAsia="es-AR"/>
        </w:rPr>
        <w:br/>
        <w:t>Juan Bautista Delgado Canovas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19" w:anchor="15" w:history="1">
        <w:r w:rsidRPr="00EB097F">
          <w:rPr>
            <w:rFonts w:ascii="Arial" w:eastAsia="Times New Roman" w:hAnsi="Arial" w:cs="Arial"/>
            <w:color w:val="003399"/>
            <w:sz w:val="21"/>
            <w:szCs w:val="21"/>
            <w:lang w:eastAsia="es-AR"/>
          </w:rPr>
          <w:t>"LA FORMACIÓN JURÍDICA EN HARVARD"</w:t>
        </w:r>
      </w:hyperlink>
      <w:r w:rsidRPr="00EB097F">
        <w:rPr>
          <w:rFonts w:ascii="Arial" w:eastAsia="Times New Roman" w:hAnsi="Arial" w:cs="Arial"/>
          <w:color w:val="003399"/>
          <w:sz w:val="17"/>
          <w:szCs w:val="17"/>
          <w:lang w:eastAsia="es-AR"/>
        </w:rPr>
        <w:br/>
        <w:t>Soledad Villagra de Biedermann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20" w:anchor="16" w:history="1">
        <w:r w:rsidRPr="00EB097F">
          <w:rPr>
            <w:rFonts w:ascii="Arial" w:eastAsia="Times New Roman" w:hAnsi="Arial" w:cs="Arial"/>
            <w:color w:val="003399"/>
            <w:sz w:val="21"/>
            <w:szCs w:val="21"/>
            <w:lang w:eastAsia="es-AR"/>
          </w:rPr>
          <w:t>"LA IDENTIDAD DE LA JUSTICIA CRIMINAL: ENTRE LA MODERNIZACION Y LOS DERECHOS HUMANOS"</w:t>
        </w:r>
      </w:hyperlink>
      <w:r w:rsidRPr="00EB097F">
        <w:rPr>
          <w:rFonts w:ascii="Arial" w:eastAsia="Times New Roman" w:hAnsi="Arial" w:cs="Arial"/>
          <w:color w:val="003399"/>
          <w:sz w:val="17"/>
          <w:szCs w:val="17"/>
          <w:lang w:eastAsia="es-AR"/>
        </w:rPr>
        <w:br/>
        <w:t>Alberto M. Binder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21" w:anchor="17" w:history="1">
        <w:r w:rsidRPr="00EB097F">
          <w:rPr>
            <w:rFonts w:ascii="Arial" w:eastAsia="Times New Roman" w:hAnsi="Arial" w:cs="Arial"/>
            <w:color w:val="003399"/>
            <w:sz w:val="21"/>
            <w:szCs w:val="21"/>
            <w:lang w:eastAsia="es-AR"/>
          </w:rPr>
          <w:t>"LOS GRUPOS DE SOCIEDADES"</w:t>
        </w:r>
      </w:hyperlink>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Mariano Gagliardo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22" w:anchor="18" w:history="1">
        <w:r w:rsidRPr="00EB097F">
          <w:rPr>
            <w:rFonts w:ascii="Arial" w:eastAsia="Times New Roman" w:hAnsi="Arial" w:cs="Arial"/>
            <w:color w:val="003399"/>
            <w:sz w:val="21"/>
            <w:szCs w:val="21"/>
            <w:lang w:eastAsia="es-AR"/>
          </w:rPr>
          <w:t>"POPPER Y KUHN: UN ASEDIO A LAS CIENCIAS HUMANAS Y SOCIALES"</w:t>
        </w:r>
      </w:hyperlink>
      <w:r w:rsidRPr="00EB097F">
        <w:rPr>
          <w:rFonts w:ascii="Arial" w:eastAsia="Times New Roman" w:hAnsi="Arial" w:cs="Arial"/>
          <w:color w:val="003399"/>
          <w:sz w:val="17"/>
          <w:szCs w:val="17"/>
          <w:lang w:eastAsia="es-AR"/>
        </w:rPr>
        <w:br/>
        <w:t>Fernando Tellechea Yampey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23" w:anchor="19" w:history="1">
        <w:r w:rsidRPr="00EB097F">
          <w:rPr>
            <w:rFonts w:ascii="Arial" w:eastAsia="Times New Roman" w:hAnsi="Arial" w:cs="Arial"/>
            <w:color w:val="003399"/>
            <w:sz w:val="21"/>
            <w:szCs w:val="21"/>
            <w:lang w:eastAsia="es-AR"/>
          </w:rPr>
          <w:t>"REGIMEN PENITENCIARIO Y POLITICA CRIMINAL"</w:t>
        </w:r>
      </w:hyperlink>
      <w:r w:rsidRPr="00EB097F">
        <w:rPr>
          <w:rFonts w:ascii="Arial" w:eastAsia="Times New Roman" w:hAnsi="Arial" w:cs="Arial"/>
          <w:color w:val="003399"/>
          <w:sz w:val="17"/>
          <w:szCs w:val="17"/>
          <w:lang w:eastAsia="es-AR"/>
        </w:rPr>
        <w:br/>
        <w:t>Alfonso Zambrano Pasquel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24" w:anchor="20" w:history="1">
        <w:r w:rsidRPr="00EB097F">
          <w:rPr>
            <w:rFonts w:ascii="Arial" w:eastAsia="Times New Roman" w:hAnsi="Arial" w:cs="Arial"/>
            <w:color w:val="003399"/>
            <w:sz w:val="21"/>
            <w:szCs w:val="21"/>
            <w:lang w:eastAsia="es-AR"/>
          </w:rPr>
          <w:t>"RESTRUCTURACIÒN DEL PODER JUDICIAL UN IMPERATIVO AUN NO SATISFECHO"</w:t>
        </w:r>
      </w:hyperlink>
      <w:r w:rsidRPr="00EB097F">
        <w:rPr>
          <w:rFonts w:ascii="Arial" w:eastAsia="Times New Roman" w:hAnsi="Arial" w:cs="Arial"/>
          <w:color w:val="003399"/>
          <w:sz w:val="17"/>
          <w:szCs w:val="17"/>
          <w:lang w:eastAsia="es-AR"/>
        </w:rPr>
        <w:br/>
        <w:t>Rodrigo Campos Cervera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hyperlink r:id="rId25" w:anchor="21" w:history="1">
        <w:r w:rsidRPr="00EB097F">
          <w:rPr>
            <w:rFonts w:ascii="Arial" w:eastAsia="Times New Roman" w:hAnsi="Arial" w:cs="Arial"/>
            <w:color w:val="003399"/>
            <w:sz w:val="21"/>
            <w:szCs w:val="21"/>
            <w:lang w:eastAsia="es-AR"/>
          </w:rPr>
          <w:t>"SOBRE ONTOLOGIA Y LÓGICA DE LAS NORMAS "</w:t>
        </w:r>
      </w:hyperlink>
      <w:r w:rsidRPr="00EB097F">
        <w:rPr>
          <w:rFonts w:ascii="Arial" w:eastAsia="Times New Roman" w:hAnsi="Arial" w:cs="Arial"/>
          <w:color w:val="003399"/>
          <w:sz w:val="17"/>
          <w:szCs w:val="17"/>
          <w:lang w:eastAsia="es-AR"/>
        </w:rPr>
        <w:br/>
        <w:t>Daniel Mendonca</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8025" w:type="dxa"/>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 w:name="1"/>
            <w:bookmarkEnd w:id="1"/>
            <w:r w:rsidRPr="00EB097F">
              <w:rPr>
                <w:rFonts w:ascii="Arial" w:eastAsia="Times New Roman" w:hAnsi="Arial" w:cs="Arial"/>
                <w:b/>
                <w:bCs/>
                <w:color w:val="009933"/>
                <w:sz w:val="20"/>
                <w:szCs w:val="20"/>
                <w:lang w:eastAsia="es-AR"/>
              </w:rPr>
              <w:t>"¿EXISTE TODAVÍA UN FILOSOFÍA DEL DERECHO? "</w:t>
            </w:r>
            <w:r w:rsidRPr="00EB097F">
              <w:rPr>
                <w:rFonts w:ascii="Arial" w:eastAsia="Times New Roman" w:hAnsi="Arial" w:cs="Arial"/>
                <w:color w:val="003399"/>
                <w:sz w:val="17"/>
                <w:szCs w:val="17"/>
                <w:lang w:eastAsia="es-AR"/>
              </w:rPr>
              <w:br/>
              <w:t>Juan Carlos Mendonça B.</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Filosofía del Derecho, Deontología Jurídica</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26" w:anchor="arriba" w:history="1">
              <w:r w:rsidRPr="00EB097F">
                <w:rPr>
                  <w:rFonts w:ascii="Arial" w:eastAsia="Times New Roman" w:hAnsi="Arial" w:cs="Arial"/>
                  <w:i/>
                  <w:iCs/>
                  <w:color w:val="003399"/>
                  <w:sz w:val="17"/>
                  <w:szCs w:val="17"/>
                  <w:lang w:eastAsia="es-AR"/>
                </w:rPr>
                <w:t>volver arriba</w:t>
              </w:r>
            </w:hyperlink>
            <w:r w:rsidRPr="00EB097F">
              <w:rPr>
                <w:rFonts w:ascii="Arial" w:eastAsia="Times New Roman" w:hAnsi="Arial" w:cs="Arial"/>
                <w:i/>
                <w:iCs/>
                <w:color w:val="003399"/>
                <w:sz w:val="17"/>
                <w:szCs w:val="17"/>
                <w:lang w:eastAsia="es-AR"/>
              </w:rPr>
              <w:t xml:space="preserve">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¿Cuál es el estado actual y el futuro de la Filosofía del Derecho? La pregunta conlleva un par de presupuestos, a saber: 1) que todavía existe una Filosofía del Derecho, y; 2) que sabemos lo que es la Filosofía del Derecho. Si nos ponemos a reflexionar con detenimiento sobre el primer presupuesto, no resulta tan evidente como puede parecer en principio. Creo que podría dudarse con razón de que existe todavía una auténtica Filosofía del Derecho, o al menos que vaya a seguir existiendo por mucho tiempo. Lo cual no significa, de modo alguno, que haya desaparecido la reflexión filosófica entre los hombre de derechos, es más, ella sigue siendo muy saludable. Lo que ha desaparecido -o tiende a desaparecer- es la Filosofía del Derecho entendida de un modo tradicional, tal como trataremos de mostrar.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historia de la Filosofía del Derecho se ha visto marcada desde sus inicios por dos corrientes irreconciliables. Una, que impone como condición necesaria del concepto de derecho el elemento ético, traducido en la idea de justicia, la otra, que rechaza el elemento ético como condición necesaria del derecho. Una cosa debía suceder por fuerza: resuelto el dilema, disuelta la Filosofía del Derecho. Pero es sabido que el modo de resolver dilemas es optar por uno de los cuernos, y en suma eso ocurrió, como se verá.</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Está claro que el tema central de la Filosofía del Derecho es responder a la pregunta ¿qué es el Derecho?. Por aquí viene entonces la dilucidación del segundo presupuesto, saber qué es la Filosofía del Derecho. O tal vez sea mejor preguntarse ¿qué era la Filosofía del Derecho?. Para responder tendremos que indagar en viejos y clásicos textos sobre el tema. Dice por ejemplo Recasens Siches: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'Asimismo cabe preguntarnos no sólo sobre la esencia de lo jurídico, sino también por su ser, por su realidad: es decir, qué clase de ser entraña el Derecho, a qué región óntica pertenece, en qué categorías se aloja; qué clase de objeto es el Derecho, a qué acepción del ser corresponde el Derecho'1.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su parte, opina Del Vecchio: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Filosofía del Derecho es la disciplina que define el Derecho en su universalidad lógica, investiga los fundamentos y los caracteres generales de su desarrollo histórico, y lo valora según el ideal de la justicia </w:t>
            </w:r>
            <w:r w:rsidRPr="00EB097F">
              <w:rPr>
                <w:rFonts w:ascii="Arial" w:eastAsia="Times New Roman" w:hAnsi="Arial" w:cs="Arial"/>
                <w:color w:val="003399"/>
                <w:sz w:val="17"/>
                <w:szCs w:val="17"/>
                <w:lang w:eastAsia="es-AR"/>
              </w:rPr>
              <w:lastRenderedPageBreak/>
              <w:t>trazado por la pura razón'2.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Ruiz Moreno sostiene: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'Puede tomarse directamente al fenómeno del derecho y reflexionar sobre él, situándolo en el concierto de nuestros conocimientos del universo; aislar su naturaleza, descubrir sus conexiones, fijar su ser ontológico característicos, indagar sus fines, seguirlo en sus modulaciones como una manifestación de la conducta de los seres humanos'3.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 hablar de la Filosofía del Derecho, dice Legaz:</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problema del concepto universal del Derecho es el cometido propio de la misma, aquél para cuya respuesta nació la filosofía del Derecho...; su tema es el concepto del Derecho. Problemas como el de la validez y la vigencia jurídica y las consideraciones teleológicas valorativas no tienen más sentido que el de vías de acceso para llegar a un concepto del Derecho'4.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su vez, Ghirardi afirma: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Filosofía del Derecho le compete preguntarse por qué existe el Derecho o por qué existen relaciones humanas que llamamos jurídicas, qué es en esencia el Derecho¸ cuál es su origen, su fundamento, sus primeros principios y sus primeras causas'5.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Observemos con detenimiento el contenido de la Filosofía del Derecho y preguntémonos ahora: ¿qué hombre de derecho dedicado a la reflexión filosófica sigue indagando acerca de la esencia de lo jurídico, el ser del Derecho, la región óntica a la que pertenece, qué clase de objeto es, la definición del Derecho, la naturaleza del derecho, su ser ontológico característico, sus fines, sus primeros principios y sus primeras causas¸ el concepto universal del Derecho. Cero que la respuesta puede resultar bastante obvia; muy pocos siguen tratando tales cuestiones. Entiendo que la discusión sobre estos temas -los específicos de la Filosofía del Derecho- se halla agotada, aunque, definitivamente, no resuelta. De lo que es el derecho, se dijo de todo: el jusnaturalismo dijo que el Derecho es lo que es justo; el normativismo kelseniano afirmó que era simple conjunto de normas, independientes de su justicia, el realismo americano dijo que era la decisión de los tribunales; el sociologismo alegó que era, básicamente, echo social; la escuela egológica sostuvo que era norma y conducta; el trialismo afirmó que se trataba de hecho, valor y norma, a la vez. Prolongar la discusión se encontró, finalmente, estéril. Entiendo que se pone fina ella con la polémica entre Hart y Dwoirkin, que culminó hace aproximadamente diez años6.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Las diversas tendencias resolvieron asumir sus propios presupuestos acerca de la esencia de lo jurídica, del ser del Derecho, de la región óntica de su pertenencia, de la naturaleza, de la definición y del concepto universal del Derecho7. Lo que decíamos antes, cada uno optó por su propio cuerno del dilema. El cuerno de la izquierda se embarcó en la investigación de corte cientifista, fiel tributario del positivismo lógico y la escuela analítica; aquí se hace Teoría General del Derecho que, antes que filosofía es ciencia del Derecho8. Se estudian temas como la validez, la vigencia, la promulgación, la derogación, la aplicación de la lógica y la justificación de una lógica de normas, las propiedades de los sistemas normativos, etc. El cuerno de la derecha se lanzó a la búsqueda de una justificación moral de las instituciones jurídicas, y más que Filosofía del Derecho hace Filosofía Moral y Política. Se estudian temas como la libertad, el aborto, la eutanasia, la discriminación positiva, derechos de homosexuales y de otras minorías, pornografías, etc. En suma, unos hacen Ciencia del Derecho y los otros Filosofía Moral y Política. Es curioso observar cómo aquellas cuestiones que no se consideraban más que medios para llegar al fin de la Filosofía del Derecho, hoy se han convertido en el objeto principal de reflexión. Al respecto, recordemos el párrafo antes transcripto de Legaz y Lacambra: 'Problemas como el de la validez y la vigencia jurídica y las consideraciones teleológicas y valorativas no tienen más sentido que el de vías de acceso para llegar a un concepto del Derecho'.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Cabe señalar que las últimas corrientes tampoco se ocupan de averiguar lo que es el derecho, salvo, tal vez, la Teoría Institucional de MacCormick y Weinberger. En efecto, Law and Economics, por ejemplo, estudia la función positiva del análisis económico del derecho, para tratar de explicar las reglas legales y resultados, sin importar lo que el derecho sea en sí. El Constructivismo de Ackerman sólo intenta construir un nuevo lenguaje del poder, ubicándose dentro de una corriente analítica a su manera. El movimiento Critical Legal Studies, que no consiste en una especial teoría filosófica, sino que adopta teorías filosóficas -que van desde el realismo jurídico americano hasta el marxismo crítico, pasando por la fenomenología y el estructuralismo- con fines críticos, tampoco se preocupa de discutir lo que es el derecho, sino que más bien lo presupone de acuerdo con las filosofías que le sirven de base. Tampoco el Deconstrucionismo se ocupa de la cuestión de la esencia del Derecho. Decíamos antes que de todas estas corrientes más actuales, la única que trata de dar una explicación a lo que es el Derecho es la Teoría Institucional del Derecho; ella tiene aspectos sacados del positivismo normativista y del sociologismo. Sostiene, al respecto MacCormick y Weinberger: 'Lo que buscamos hacer es resolver un problema ontológico </w:t>
            </w:r>
            <w:r w:rsidRPr="00EB097F">
              <w:rPr>
                <w:rFonts w:ascii="Arial" w:eastAsia="Times New Roman" w:hAnsi="Arial" w:cs="Arial"/>
                <w:color w:val="003399"/>
                <w:sz w:val="17"/>
                <w:szCs w:val="17"/>
                <w:lang w:eastAsia="es-AR"/>
              </w:rPr>
              <w:lastRenderedPageBreak/>
              <w:t>fundamental de cara a cualquier aproximación sociológica o doctrinal al derecho'9; pero agregan: 'Ninguno de nosotros ve la tradicional disputa entre estos dos tipos ideales antitéticos (refiriéndose al positivismo y al jusnaturalismo) como un campo fructífero para ulteriores exploraciones...'10.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tema de reflexión acerca del futuro del pensamiento filosófico en el ámbito del Derecho, queremos citar la opinión de Georg Henrik von Wright en una entrevista realizada por Eugenio Bulygin.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'Estos aspectos alarmantes y hasta ´apocalípticos´ de nuestra cultura no ofrecen obvio material de reflexión para la investigación conceptual del tipo del que la filosofía analítica orientada hacia la ciencia ha llevado a cabo tradicionalmente. Constituyen un desafío, en cambio, para la reflexión sobre problemas de naturaleza ética y también sobre problemas concernientes al hombre y a su destino. Se podría aventurar, tal vez, con cautela, la predicción de que la ética será el centro de la filosofía en el nuevo siglo, así como la lógica lo ha sido en las primeras décadas del presente siglo'11.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resumen, creemos que la investigación se prolongará, por un lado, en la búsqueda de un lenguaje jurídico más depurado y en la formalización del lenguaje jurídica -estrechamente relacionado con los sistemas informáticos-; asimismo, en un mayor desarrollo de la lógica jurídica y la teoría de la argumentación. Por el otro lado, la ética normativa seguirá ocupando un lugar de relevancia, en la búsqueda de una mejor clarificación moral de las cuestiones más controvertidas.</w:t>
            </w:r>
            <w:r w:rsidRPr="00EB097F">
              <w:rPr>
                <w:rFonts w:ascii="Arial" w:eastAsia="Times New Roman" w:hAnsi="Arial" w:cs="Arial"/>
                <w:color w:val="003399"/>
                <w:sz w:val="17"/>
                <w:szCs w:val="17"/>
                <w:lang w:eastAsia="es-AR"/>
              </w:rPr>
              <w:br/>
              <w:t>1 Ver Recasens Siches, Luis. LOS TEMAS DE LA FILOSOFÍA DEL DERECHO. Barcelona, 1934, p. 10.</w:t>
            </w:r>
            <w:r w:rsidRPr="00EB097F">
              <w:rPr>
                <w:rFonts w:ascii="Arial" w:eastAsia="Times New Roman" w:hAnsi="Arial" w:cs="Arial"/>
                <w:color w:val="003399"/>
                <w:sz w:val="17"/>
                <w:szCs w:val="17"/>
                <w:lang w:eastAsia="es-AR"/>
              </w:rPr>
              <w:br/>
              <w:t>2 Del Vecchio, Giorgio. FILOSOFÍA DEL DERECHO, Barcelona, 1947, p. 27.</w:t>
            </w:r>
            <w:r w:rsidRPr="00EB097F">
              <w:rPr>
                <w:rFonts w:ascii="Arial" w:eastAsia="Times New Roman" w:hAnsi="Arial" w:cs="Arial"/>
                <w:color w:val="003399"/>
                <w:sz w:val="17"/>
                <w:szCs w:val="17"/>
                <w:lang w:eastAsia="es-AR"/>
              </w:rPr>
              <w:br/>
              <w:t>3 Ruiz Moreno, Martín T. FILOSOFÍA DEL DERECHO, Buenos Aires, 1944, p. 54.</w:t>
            </w:r>
            <w:r w:rsidRPr="00EB097F">
              <w:rPr>
                <w:rFonts w:ascii="Arial" w:eastAsia="Times New Roman" w:hAnsi="Arial" w:cs="Arial"/>
                <w:color w:val="003399"/>
                <w:sz w:val="17"/>
                <w:szCs w:val="17"/>
                <w:lang w:eastAsia="es-AR"/>
              </w:rPr>
              <w:br/>
              <w:t>4 Legaz y Lacambra, Luis. FILOSOFÍA DEL DERECHO, Barcelona, 1975, p. 30.</w:t>
            </w:r>
            <w:r w:rsidRPr="00EB097F">
              <w:rPr>
                <w:rFonts w:ascii="Arial" w:eastAsia="Times New Roman" w:hAnsi="Arial" w:cs="Arial"/>
                <w:color w:val="003399"/>
                <w:sz w:val="17"/>
                <w:szCs w:val="17"/>
                <w:lang w:eastAsia="es-AR"/>
              </w:rPr>
              <w:br/>
              <w:t>5 Ghirardi, Olsen. LECCIONES DE INTRODUCCIÓN A LA FILOSOFÍA DEL DERECHO. Bs. As. 1980, p. 101.</w:t>
            </w:r>
            <w:r w:rsidRPr="00EB097F">
              <w:rPr>
                <w:rFonts w:ascii="Arial" w:eastAsia="Times New Roman" w:hAnsi="Arial" w:cs="Arial"/>
                <w:color w:val="003399"/>
                <w:sz w:val="17"/>
                <w:szCs w:val="17"/>
                <w:lang w:eastAsia="es-AR"/>
              </w:rPr>
              <w:br/>
              <w:t>6 Al respecto puede verse el artículo 'Hart vs. Dwoirkin' por Michael Bayles en LAW AND PHILOSOPHY, Vol 20, nº 4, noviembre de 1991, p. 349 y ss.</w:t>
            </w:r>
            <w:r w:rsidRPr="00EB097F">
              <w:rPr>
                <w:rFonts w:ascii="Arial" w:eastAsia="Times New Roman" w:hAnsi="Arial" w:cs="Arial"/>
                <w:color w:val="003399"/>
                <w:sz w:val="17"/>
                <w:szCs w:val="17"/>
                <w:lang w:eastAsia="es-AR"/>
              </w:rPr>
              <w:br/>
              <w:t>7 Curiosamente, Martín D. Farell -influido por el pensamiento positivista- sostiene que el tema precisamente inapropiado para la Filosofía del Derecho es el ontológico. De acuerdo con sus tesis la pregunta acerca de 'lo que hay' corresponde ser respondida o por el sentido común o por la ciencia, pero no por la filosofía. En tal sentido adhiere a un cambio en la concepción de ésta: 'terminada la labor de los científicos, la tarea de la filosofía consistirá solamente en efectuar -como lo entiende Wartsfky- la síntesis de lo que sabemos en un campo con lo que sabemos en otros'; y termina diciendo: 'En resumen, si hay que asumir algún ´compromiso ontológico´, éste deber ser el de excluir de la filosofía los problemas ontológicos'. (Ver, Farell, Martín D. CUESTIONES DE FILOSOFÍA Y DERECHO. Bs. As. 1977, p. 97).</w:t>
            </w:r>
            <w:r w:rsidRPr="00EB097F">
              <w:rPr>
                <w:rFonts w:ascii="Arial" w:eastAsia="Times New Roman" w:hAnsi="Arial" w:cs="Arial"/>
                <w:color w:val="003399"/>
                <w:sz w:val="17"/>
                <w:szCs w:val="17"/>
                <w:lang w:eastAsia="es-AR"/>
              </w:rPr>
              <w:br/>
              <w:t>8 Legaz y Lacambra no estaría muy de acuerdo con la caracterización que hacemos de la Teoría General del Derecho, dice al respecto: 'En la llamada ´teoría general del Derecho´ se constituye la filosofía del Derecho como una teoría de la ciencia jurídica; su objeto es descubrir y reducir a sistema aquellos conceptos que la ciencia jurídica no explica que presupone siempre. El método para llegar a ello es el método empírico, la reducción de la fenomenología jurídica a constantes generales por un proceso de eliminación de lo accidental y variable y de unificación y descripción de lo uniforme. Así la teoría general es parte de la ciencia jurídica si se considera a ésta como sistema universal de conocimientos sobre el Derecho; pero está fuera de ella, como sistema que es de sus supuestos; por ser teoría de la ciencia jurídica, no es ciencia sino filosofía del Derecho' Ob. cit., p. 27.</w:t>
            </w:r>
            <w:r w:rsidRPr="00EB097F">
              <w:rPr>
                <w:rFonts w:ascii="Arial" w:eastAsia="Times New Roman" w:hAnsi="Arial" w:cs="Arial"/>
                <w:color w:val="003399"/>
                <w:sz w:val="17"/>
                <w:szCs w:val="17"/>
                <w:lang w:eastAsia="es-AR"/>
              </w:rPr>
              <w:br/>
              <w:t>9 Neil MacCormick, y Otta Weinberger. AN INSTITUTIONAL THEORY OF LAW. Dordrecht, 986, p. 7.</w:t>
            </w:r>
            <w:r w:rsidRPr="00EB097F">
              <w:rPr>
                <w:rFonts w:ascii="Arial" w:eastAsia="Times New Roman" w:hAnsi="Arial" w:cs="Arial"/>
                <w:color w:val="003399"/>
                <w:sz w:val="17"/>
                <w:szCs w:val="17"/>
                <w:lang w:eastAsia="es-AR"/>
              </w:rPr>
              <w:br/>
              <w:t xml:space="preserve">10 Op. cit., p. 7. </w:t>
            </w:r>
            <w:r w:rsidRPr="00EB097F">
              <w:rPr>
                <w:rFonts w:ascii="Arial" w:eastAsia="Times New Roman" w:hAnsi="Arial" w:cs="Arial"/>
                <w:color w:val="003399"/>
                <w:sz w:val="17"/>
                <w:szCs w:val="17"/>
                <w:lang w:eastAsia="es-AR"/>
              </w:rPr>
              <w:br/>
              <w:t xml:space="preserve">11 Véase la 'Entrevista a Georg Henrik von Wright', por Eugenio Bulygin en DOXA, nº 12, año 1992, p. 389.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8025" w:type="dxa"/>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2" w:name="2"/>
            <w:bookmarkEnd w:id="2"/>
            <w:r w:rsidRPr="00EB097F">
              <w:rPr>
                <w:rFonts w:ascii="Arial" w:eastAsia="Times New Roman" w:hAnsi="Arial" w:cs="Arial"/>
                <w:b/>
                <w:bCs/>
                <w:color w:val="009933"/>
                <w:sz w:val="20"/>
                <w:szCs w:val="20"/>
                <w:lang w:eastAsia="es-AR"/>
              </w:rPr>
              <w:t>"HACIA UNA INTEGRACIÓN CONTINENTAL, NAFTA Y EL MERCOSUR"</w:t>
            </w:r>
            <w:r w:rsidRPr="00EB097F">
              <w:rPr>
                <w:rFonts w:ascii="Arial" w:eastAsia="Times New Roman" w:hAnsi="Arial" w:cs="Arial"/>
                <w:color w:val="003399"/>
                <w:sz w:val="17"/>
                <w:szCs w:val="17"/>
                <w:lang w:eastAsia="es-AR"/>
              </w:rPr>
              <w:br/>
              <w:t>Alonso María Velázquez Argaña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lastRenderedPageBreak/>
              <w:t>Tema:</w:t>
            </w:r>
            <w:r w:rsidRPr="00EB097F">
              <w:rPr>
                <w:rFonts w:ascii="Arial" w:eastAsia="Times New Roman" w:hAnsi="Arial" w:cs="Arial"/>
                <w:color w:val="003399"/>
                <w:sz w:val="17"/>
                <w:szCs w:val="17"/>
                <w:lang w:eastAsia="es-AR"/>
              </w:rPr>
              <w:t xml:space="preserve"> Derecho de integración</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27" w:anchor="arriba" w:history="1">
              <w:r w:rsidRPr="00EB097F">
                <w:rPr>
                  <w:rFonts w:ascii="Arial" w:eastAsia="Times New Roman" w:hAnsi="Arial" w:cs="Arial"/>
                  <w:i/>
                  <w:iCs/>
                  <w:color w:val="003399"/>
                  <w:sz w:val="17"/>
                  <w:szCs w:val="17"/>
                  <w:lang w:eastAsia="es-AR"/>
                </w:rPr>
                <w:t>volver arriba</w:t>
              </w:r>
            </w:hyperlink>
            <w:r w:rsidRPr="00EB097F">
              <w:rPr>
                <w:rFonts w:ascii="Arial" w:eastAsia="Times New Roman" w:hAnsi="Arial" w:cs="Arial"/>
                <w:i/>
                <w:iCs/>
                <w:color w:val="003399"/>
                <w:sz w:val="17"/>
                <w:szCs w:val="17"/>
                <w:lang w:eastAsia="es-AR"/>
              </w:rPr>
              <w:t xml:space="preserve">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Introducción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libertad del comercio es una de las más importantes herramientas para alcanzar el bienestar de la humanidad. La idea de mantener zonas comerciales aisladas y cerradas las unas de las otras, ha perdido popularidad entre las naciones modernas, las cuales han reconocido que sólo a través de la apertura de sus fronteras y del fortalecimiento de los lazos comerciales con sus vecinos, se llegará a una verdadera prosperidad económica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efecto, 'interdependencia' es una palabra que describe con bastante precisión el fenómeno que se da hoy en día en la economía mundial. Los países dependen cada vez más del comercio exterior, de sus importaciones y exportaciones. Esta interdependencia ha alterado en gran medida el clásico concepto de soberanía, estableciéndose organismos supranacionales tales como el Banco Mundial, el Fondo Monetario Internacional, y el sistema del GATT, que recientemente ha dado lugar a la creación de la Organización del Comercio Mundial, organismos que juegan un rol fundamental en la regulación de la economía mundial.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Estamos experimentando un proceso que puede ser calificado como de 'globalización', que se traduce en la formación de bloques económicos en diferentes regiones del orbe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una evidencia de lo enunciado en el párrafo anterior, el mundo ha venido presenciando durante las últimas décadas, un creciente interés en favor de la integración económica, que se ha traducido en diferentes intentos de integración, algunos de ellos con resultados exitosos, como en el caso de la Comunidad Europea, y otros con menos.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América Latina, el deseo de integración económica no es nuevo. Numerosos esfuerzos han sido realizados durante los últimos 30 años, teniendo como propósito la creación de bloques económicos que posibilite el surgimiento económico en la región.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por diferentes razones, la integración en América Latina ha conocido de numerosos fracasos.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26 de marzo de 1991, los Presidentes de Argentina, Brasil, Paraguay y Uruguay, firmaron el Tratado de Asunción, por el cual fue creado un mercado común entre estas cuatro naciones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Mercosur a pesar de las imperfecciones que pueda tener, y de las críticas que ha generado, puede ser considerado como el más serio de los intentos de integración económica que se hayan iniciado en América Latina.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presente trabajo no pretende realizar un análisis crítico de las disposiciones del Mercosur, o determinar el grado de factibilidad que pueda tener, o las ventajas o desventajas que pueda representar.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 que buscará este trabajo es analizar, a la luz del Tratado de Asunción, las posibilidades de relacionamiento del Mercosur con otros esquemas económicos, y en particular con el Tratado de Libre Comercio de América del Norte, conocido como NAFTA, por sus siglas en inglés.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firma de NAFTA, por encima de toda la controversia que ha generado, en cuanto a sus posibles beneficios y a los eventuales peligros que pueda generar, ha despertado en muchos países de América Latina el viejo anhelo de integración. Efectivamente, NAFTA puede ser considerado como el primer paso hacia la concreción de una integración económica de mayor envergadura, que extienda la libertad de comercio más al sur de México.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este trabajo se considerará si el Tratado de Asunción permitiría o no integrar al Mercosur con otros acuerdos económicos, si se podría o no pensar en un futuro cercano en un relacionamiento entre el Mercosur y NAFTA, y de qué manera se podría llegar a ello, en particular, de qué manera el Mercosur podría acceder a los beneficios de una zona de libre comercio continental, sin dejar de existir como 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Hacia una integración hemisférica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Mercosur y la Aladi</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Tratado Asunción en su preámbulo considera a la integración como un requisito vital para alcanzar el desarrollo económico en la región.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Luego de subrayar la tendencia internacional en la formación de grandes áreas económicas, el Tratado de Asunción hace referencia al Tratado de Montevideo (el cual establece la Asociación Latinoamericana de Integración-ALADI), al cual lo califica como un instrumento fundamental, dentro de cuyo alcance el Mercosur debe ser considerado como incluido.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efecto, el Mercosur es concebido como un paso más para alcanzar la tan anhelada integración latinoamericana, y en este sentido los objetivos del Tratado de Montevideo son reconocidos como los principios fundamentales sobre los cuales se apoya el Mercosur y hacia los cuales tiende1.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Tratado de Asunción establece que las partes se comprometen a respetar los acuerdos y compromisos firmados dentro del marco de la ALADI. Asimismo, el Tratado de Asunción compromete a los estados partes a coordinar su posición en cualquier negociación comercial en las que ellos puedan participar en el futuro. Los estados partes acuerdan consultar entre los mismos cualquier negociación que pueda llevar a la formación de zonas de libre comercio con otros países miembros de la ALADI.</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importante mencionar que el Mercosur fue concebido como un bloque económico abierto. Así, el Tratado de Asunción consagra que el acuerdo está abierto a la adhesión, a través de negociaciones, de otros países miembros de la ALADI, una vez que el Tratado haya estado en vigor por cinco años. Este requisito de los cinco años no se aplica en el caso de países miembros de la ALADI que no pertenezcan a otros esquemas sub-regionales de integración o a asociaciones extra-regionales.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Ministros de Relaciones Exteriores de los países miembros del Mercosur han enfatizado el papel que el Mercosur debe desempeñar en el proceso por alcanzar los objetivos consagrados en el Tratado de Montevideo, y la idea de convertir al Mercosur en un instrumento para facilitar la integración de Latino América, considerada como un todo. Como resultado, los países miembros del Mercosur han expresado su interés en la posibilidad de incorporar a Bolivia. La situación de Chile es bastante diferente, considerando que este país tiene una economía relativamente más desarrollada y una política de libre comercio más avanzada, produciendo como resultado que este país se haya mantenido al margen del Mercosur.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resumen, hay un compromiso asumido por los países miembros del Mercosur de dejar el acuerdo abierto a otras naciones de América Latina. Sin embargo, a pesar de que el Tratado, como ya fuera expresado anteriormente, contiene cláusulas que específicamente se refieren a la adhesión de otros estados, esta posibilidad resulta, al menos por el momento, aún remota. En efecto, la mayoría de los países de América Latina forman ya parte de otros esquemas de integración económica, como es el caso del Grupo Andino, o la Comunidad del Caribe (CARICOM).</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adhesión de otros países al Mercosur requerirá la renuncia por parte de éstos, de acuerdos firmados previamente, teniendo en consideración que el Mercosur fue concebido como un mercado común y que su membrecía sería incompatible con la pertenencia de alguno de sus miembros, a otros sistemas de integración económica de los cuales los demás no son partes.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lo expuesto, conviene resaltar que el Tratado de Asunción concibe al Mercosur como a un grupo abierto a la incorporación de posibles nuevos socios. A los efectos del presente trabajo, destacamos que del espíritu mismo que motivó la formación del Mercosur surge la posibilidad que el Mercosur, como grupo, concerte acuerdos de libre comercio con terceros países o grupos de países de la región, como veremos más adelante.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iniciativa para las Américas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menos de una década, la gran mayoría de los países de América Latina han iniciado un proceso de democratización a través del cual, regímenes dictatoriales han sido transformados en gobiernos democráticos, o han dado paso a procesos de transición hacia una consolidación democrática. Al mismo tiempo, los países latinoamericanos han comprendido que una economía de libre mercado es la única solución a la crisis económica que por largo tiempo ha predominado en la región.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Líderes políticos de América Latina han reconocido el fracaso de políticas económicas caracterizadas por medidas proteccionistas. Así, políticas como la de substitución de importaciones y la de intervención estatal, fueron reconsideradas y en muchos casos dejadas de lado, reflejando de esta manera la nueva tendencia en América Latina: la liberalización del comercio como instrumento para alcanzar desarrollo económico.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Esta tendencia en Latinoamérica coincidió con una nueva política del gobierno de los Estados Unidos con relación a esta región, encaminada a incrementar el comercio y las inversiones norteamericanas en América Latina, como un instrumento de soporte a las incipientes democracias en estos países, y como </w:t>
            </w:r>
            <w:r w:rsidRPr="00EB097F">
              <w:rPr>
                <w:rFonts w:ascii="Arial" w:eastAsia="Times New Roman" w:hAnsi="Arial" w:cs="Arial"/>
                <w:color w:val="003399"/>
                <w:sz w:val="17"/>
                <w:szCs w:val="17"/>
                <w:lang w:eastAsia="es-AR"/>
              </w:rPr>
              <w:lastRenderedPageBreak/>
              <w:t>una forma de dar una respuesta al fenómeno de globalización que la economía mundial ha venido experimentando.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27 de junio de 1990, el entonces Presidente de los Estados Unidos de Norteamérica, George Bush, presenta una propuesta dirigida a Latinoamérica, que busca fundamentalmente estrechar las relaciones comerciales en todo el Hemisferio Occidental, propuesta que lleva el título de 'Una Iniciativa para las Américas'. La idea básica que ofrece esta propuesta es la de abrir una zona de libre comercio a lo largo y ancho del hemisferio occidental.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Iniciativa para las Américas representa la más significativa política económica del gobierno de los Estados Unidos hacia América Latina, desde los tiempos en que el Presidente John F. Kennedy presentó su programa de 'Alianza para el Progreso', y el Presidente Franklin Delano Roosevelt el programa de la 'Política del Buen Vecino'. Sin embargo, a diferencia de los dos programas mencionados, la propuesta del Presidente Bush se aleja del concepto paternalista que éstos presentan, y enfatiza en que el verdadero desarrollo económico de América Latina será alcanzado a través del comercio y no de la ayuda; y a través de la inversión privada y no la pública. La Iniciativa para las Américas se traduce básicamente en tres diferentes componentes, que son: una iniciativa comercial, una iniciativa de inversión, y una iniciativa encaminada a solucionar el problema de la deuda pública.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iniciativa comercial busca la liberalización del comercio en toda la región, y la formación de una zona de libre comercio.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 relación a la iniciativa de inversión, el principal objetivo a ser alcanzado es la atracción y captación de inversiones de capital.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tanto que la última de las iniciativas busca dar una salida al problema de la deuda pública en Latinoamérica, de tal manera a reducirla y posibilitar que los recursos de estos países sean destinados al fomento del desarrollo económico, y no al pago de intereses y de deudas.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 bien es cierto que la Iniciativa para las Américas no busca como un objetivo inmediato la creación de un bloque económico continental, la idea de establecer una red expansiva de acuerdos comerciales entre los países de la región, puede ser considerada como un paso fundamental hacia la creación de una zona de libre comercio que incluya a todas las Américas.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proclamación de la Iniciativa para las Américas fue cálidamente recibida en América Latina, generando un resurgimiento en los esfuerzos de integración económica. La Iniciativa es vista como la evidencia de un cambio substancial en la política de los Estados Unidos, hasta entonces enmarcada dentro de un esquema de asistencia militar, y dominada por consideraciones estratégicas de seguridad continental.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Desde que la Iniciativa ha sido lanzada casi todos los países de América Latina han firmado acuerdos bilaterales y multilaterales con los Estados Unidos encaminados a la liberalización del comercio.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Asimismo, la Iniciativa ha estimulado la concreción de acuerdos entre países latinoamericanos. En efecto, se puede afirmar que la formación del Mercosur, en gran medida, ha sido una respuesta a la atmósfera favorable creada por el programa de Iniciativa para las Américas.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conclusión, la Iniciativa para las Américas puede constituirse en el soporte necesario, para el establecimiento de una zona de libre comercio a nivel hemisférico, la cual será necesaria para hacer frente a la creciente formación de bloques económicos tanto en Europa, como en Asia.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Acuerdo 'Rose Garden'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una reacción a la propuesta del Presidente Bush, los Estados Unidos de Norte América y los países miembros del Mercosur firmaron el 19 de junio de 1991, un acuerdo conocido como el 'Acuerdo del Jardín de las Rosas'. Este fue el primer acuerdo multilateral desde que el programa de Iniciativa para las Américas fuera lanzado, y fue concebido como un paso importante para establecer las bases y concretar en la realidad una zona de libre comercio hemisférica.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pesar de que el Acuerdo 'Rose Garden' no es un acuerdo de libre comercio, el mismo puede actuar como soporte para futuros acuerdos de esta naturaleza. Más aún, el mencionado acuerdo refleja una excelente predisposición y la férrea voluntad de las partes signatarias en eliminar barreras comerciales y en estrechar los vínculos económicos entre las mismas.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El Acuerdo crea un Consejo de Comercio e Inversión, cuya principal función es la de monitorear las relaciones comerciales y de inversión entre las partes signatarias, de tal forma a identificar posibles oportunidades de expandir el comercio y la inversión entre los estados partes. Este Consejo, asimismo, </w:t>
            </w:r>
            <w:r w:rsidRPr="00EB097F">
              <w:rPr>
                <w:rFonts w:ascii="Arial" w:eastAsia="Times New Roman" w:hAnsi="Arial" w:cs="Arial"/>
                <w:color w:val="003399"/>
                <w:sz w:val="17"/>
                <w:szCs w:val="17"/>
                <w:lang w:eastAsia="es-AR"/>
              </w:rPr>
              <w:lastRenderedPageBreak/>
              <w:t>trabajará en la eliminación de las causas que retardan e impiden la concreción de estos objetivos.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acuerdo a las afirmaciones de la entonces Secretaria de Comercio de los Estados Unidos, Carla Hills, el Acuerdo 'Rose Garden' constituye 'un paso inicial hacia una más igualitaria y recíproca relación, y subraya la importancia de liberalizar el comercio y la inversión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Tratado de Libre Comercio de América del Norte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17 de diciembre de 1992, los gobiernos de los Estados Unidos de Norte América, Canadá y México firmaron un Tratado de Libre Comercio, conocido como NAFTA, por sus siglas en inglés14. Este Tratado representa el compromiso de estos tres países de crear un bloque comercial integrado, desde el Yukón hasta Yucatán15. El Tratado establecerá la mayor zona de libre comercio del planeta, comprendiendo una población de 370 millones de habitantes, y un PIB combinado de seis trillones de dólares americanos.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NAFTA tiene su antecedente en el Tratado de Libre Comercio firmado por los Estados Unidos y Canadá (CFTA), un acuerdo comercial entre dos cercanas y bien desarrolladas economías, el cual fue extendido de tal manera a incluir a México, un país que hasta recientemente aplicaba severas medidas proteccionistas.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NAFTA representa un extenso acuerdo comercial, en el sentido que abarca no sólo la libertad de acceso de productos a los mercados, sino que también contempla la eliminación de barreras al comercio de servicios, inversiones, telecomunicaciones, entre muchas otras18. El texto del Tratado establece la eliminación de todas las tarifas que hasta entonces eran aplicadas al comercio de mercaderías entre los tres países.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Una de las mayores preocupaciones acerca de la liberalización del comercio en la región fue que el Tratado permitiría a terceros países tomar ventajas de la nueva situación en detrimento de los estados partes de NAFTA. A fin de hacer frente a esta amenaza, el Tratado contiene provisiones que limitan los beneficios del acuerdo a productos que se originan dentro del territorio que abarca NAFTA. En consecuencia, se ha establecido un extenso sistema de reglas de origen.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Además de la eliminación de las barreras comerciales, NAFTA también contempla la reducción y eliminación de barreras no-comerciales, tales como cuotas, licencias de importación, requisitos de precios, requisitos de calidad para exportación, entre otros más19. Más aún, el Tratado contiene reglas específicas para la eliminación de barreras arancelarias y no arancelarias en cuatro áreas económicas consideradas en forma particular, por la importancia que las mismas revisten, ellas son:</w:t>
            </w:r>
            <w:r w:rsidRPr="00EB097F">
              <w:rPr>
                <w:rFonts w:ascii="Arial" w:eastAsia="Times New Roman" w:hAnsi="Arial" w:cs="Arial"/>
                <w:color w:val="003399"/>
                <w:sz w:val="17"/>
                <w:szCs w:val="17"/>
                <w:lang w:eastAsia="es-AR"/>
              </w:rPr>
              <w:br/>
              <w:t>industria automotriz, textiles, agricultura y energía y petroquímicos. Teniendo en consideración que estos sectores estuvieron sometidos a severas barreras impositivas y no impositivas, la inclusión de reglas específicas para cada una de ellas fue necesaria.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evidenciar aún más el amplio espectro que abarca NAFTA, conviene mencionar que el Tratado contiene artículos relacionados con servicios, los que incluyen disposiciones que consagran el principio de tratamiento nacional, del derecho de establecerse libremente en cualquiera de los estados partes, el principio de transparencia y el derecho de vender más allá de las fronteras. Un efectivo mecanismo de solución de disputas y provisiones relacionadas con la protección del medio ambiente y de los derechos intelectuales, también han sido incluidos.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NAFTA y el Mercosur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Una comparación general entre NAFTA y el Mercosur nos llevará a la conclusión de que a pesar de que el primero fue concebido únicamente como una zona de libre comercio, y que el segundo presenta objetivos más ambiciosos, pues persigue la creación de un mercado común, NAFTA contiene un conjunto de disposiciones muy precisas y deja muy pocas materias sujetas a una regulación posterior, mientras que el Tratado de Asunción carece de regulaciones fundamentales, y debe ser interpretado como un instrumento preparatorio y provisional, que deberá requerir reglamentaciones futuras.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Disposiciones relativas a servicios, medio ambiente, propiedad intelectual, e inclusive elementales provisiones relativas a la eliminación de barreras arancelarias, están extensamente cubiertas en el Tratado de Libre Comercio de América del Norte, demostrando el compromiso real y efectivo de las partes por alcanzar los objetivos que se propusieron como metas.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Ahora bien, la pregunta que nos formulamos es si el Tratado que crea NAFTA permitiría o no la incorporación de otros países o grupos de países. NAFTA carece de una cláusula de adhesión y no considera en forma específica el tema de la integración económica continental.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Sin embargo, el preámbulo del Tratado consagra que los estados miembros de NAFTA resuelven </w:t>
            </w:r>
            <w:r w:rsidRPr="00EB097F">
              <w:rPr>
                <w:rFonts w:ascii="Arial" w:eastAsia="Times New Roman" w:hAnsi="Arial" w:cs="Arial"/>
                <w:color w:val="003399"/>
                <w:sz w:val="17"/>
                <w:szCs w:val="17"/>
                <w:lang w:eastAsia="es-AR"/>
              </w:rPr>
              <w:lastRenderedPageBreak/>
              <w:t>'contribuir al desarrollo armónico y a la expansión del comercio mundial, y proveer un catalizador para ampliar la cooperación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Además, no existe ninguna razón que pudiera impedir a NAFTA extender sus límites a otros estados o grupos de estados. Efectivamente, entre los objetivos de NAFTA, podemos encontrar que el Tratado fue concebido como un instrumento para establecer una mayor cooperación trilateral, regional y multilateral, de tal manera a expandir y aumentar los beneficios que el Tratado establece.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NAFTA es el resultado de un cambio de mentalidad en la política de los Estados Unidos, y las recientes negociaciones entabladas con el gobierno de Chile, hacen indicar que la inclusión de otros países es posible. NAFTA puede, en un futuro no muy lejano, incluir a todos los países del Hemisferio Occidental, y convertirse en el Tratado de Libre Comercio de las Américas22. Este proceso, obviamente, requerirá tiempo y una gradual incorporación de aquellos países que estén dispuestos a incorporar los cambios necesarios en sus economías que son esenciales para el establecimiento de una zona de libre comercio.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Teniendo en consideración que tratados de libre comercio deben ser concluidos entre países que tengan un desarrollo económico relativamente similar, existen numerosas condiciones necesarias que estos países deben reunir, para evitar el trauma que la integración económica puede llegar a generar en países menos desarrollados. Así, las condiciones sociales deben ser mejoradas, implementándose una legislación efectiva que garantice un justo salario mínimo, salud y seguridad social, protección al medio ambiente y un sistema educativo efectivo23. Además, debe existir una estabilidad monetaria, y el compromiso de aceptar los principios de una economía de mercado, eliminando las empresas estatales, a través de un proceso de privatización. Finalmente, un requisito fundamental para llegar al establecimiento de una zona de libre comercio, es que entre los estados miembros impere un régimen democrático, dentro de un marco de relativa estabilidad política.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posible relación entre NAFTA y el Mercosur presenta una serie de interrogantes y de problemas que deben ser analizados. En primer lugar, existen diferencias fundamentales que hacen a la naturaleza de ambos bloques económicos. Efectivamente, NAFTA no pretende crear un mercado común, concepto económico mucho mas elaborado que el de zona de libre comercio.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zona de libre comercio implica la eliminación de las barreras arancelarias y otras restricciones al comercio dentro de un área geográfica. Sin embargo, cada miembro de la zona económica conserva la libertad de determinar su propia política comercial con relación a países que no son miembros. Es así que el establecimiento de un arancel externo común no forma parte de los objetivos de una zona de libre comercio, y que el Tratado de Libre Comercio de América del Norte no lo contempla. Por el contrario, el Mercosur fue concebido no sólo como una zona de libre comercio, sino como un mercado común, que independientemente a que pueda o no implementarse en la realidad, presenta objetivos mucho más pretensiosos que los de una zona de libre comercio, y ciertamente tiene implicaciones diferentes.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mercado común implica el establecimiento de una unión aduanera, por la cual los estados miembros eliminan los aranceles y las restricciones al comercio interno, y establecen un arancel externo común, a ser aplicado por todos los miembros a productos de otros estados.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Al respecto conviene transcribir parte del artículo primero del Tratado de Asunción, que dispone: '...Este Mercado Común implica: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libre circulación de bienes, servicios y factores productivos entre los países, a través, entre otros, de la eliminación de los derechos aduaneros y restricciones no arancelarias a la circulación de</w:t>
            </w:r>
            <w:r w:rsidRPr="00EB097F">
              <w:rPr>
                <w:rFonts w:ascii="Arial" w:eastAsia="Times New Roman" w:hAnsi="Arial" w:cs="Arial"/>
                <w:color w:val="003399"/>
                <w:sz w:val="17"/>
                <w:szCs w:val="17"/>
                <w:lang w:eastAsia="es-AR"/>
              </w:rPr>
              <w:br/>
              <w:t xml:space="preserve">mercaderías y de cualquier otra medida equivalente;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establecimiento de un arancel externo común y la adopción de una política comercial común con relación a terceros Estados o agrupaciones de Estados y la coordinación de posiciones en foros económico-comerciales, regionales e internacionales;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coordinación de políticas macroeconómicas y sectoriales entre los Estados Partes: de comercio exterior, agrícola, industrial, fiscal, monetaria cambiaria y de capitales, de servicios, aduanera, de transportes y comunicaciones y otras que se acuerden, a fin de asegurar condiciones adecuadas de competencia entre los Estados Partes...'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 la tendencia económica es la de establecer una zona de libre comercio en todo el Hemisferio Occidental a través de un proceso de ampliación del área geográfica del NAFTA, tomando este Tratado como la piedra angular, y permitiendo gradualmente el acceso de otros estados, para el caso de los estados miembros del Mercosur, la situación es bien particular.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incorporación de países del Mercosur al NAFTA, en forma separada y a través de negociaciones </w:t>
            </w:r>
            <w:r w:rsidRPr="00EB097F">
              <w:rPr>
                <w:rFonts w:ascii="Arial" w:eastAsia="Times New Roman" w:hAnsi="Arial" w:cs="Arial"/>
                <w:color w:val="003399"/>
                <w:sz w:val="17"/>
                <w:szCs w:val="17"/>
                <w:lang w:eastAsia="es-AR"/>
              </w:rPr>
              <w:lastRenderedPageBreak/>
              <w:t>independientes del resto del grupo, tendientes a formalizar tratados por separado, apeligraría la existencia misma del Mercosur.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efecto, considerando que el Mercosur persigue como principal objetivo el establecimiento de un mercado común, con un arancel externo común, la incorporación en forma separada de alguno de los países miembros del Mercosur al Tratado de Libre Comercio de América del Norte, haría imposible implementar en forma efectiva el arancel externo común, quedando el mercado común en una situación de inconsistencia, al pertenecer uno de sus miembros a una zona de libre comercio, de la cual los demás no son partes.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por ello que si la concreción de una zona de libre comercio a nivel continental va a ser implementada a través del marco que ofrece NAFTA, la incorporación de los países miembros del Mercosur debe ser concretada como grupo y no en forma separada.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NAFTA, que sin lugar a dudas representa el más completo Tratado de Libre Comercio que haya sido firmado en el Continente Americano, ofrece una excelente oportunidad de incluir otros grupos económicos de América Latina, de tal manera a actuar como el catalizador necesario para llegar al establecimiento de una zona de libre comercio de más de 750 millones de habitantes.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caso del Mercosur, si los miembros siguen firmes en su voluntad de establecer un mercado común, el proceso de adhesión del Mercosur a otros grupos económicos debe ser concretado actuando el Mercosur como grupo. Como ya expresáramos, la adhesión aislada de un estado miembro del Mercosur al NAFTA, es absolutamente incompatible con su membrecía al Mercosur, a no ser que el Mercosur quede sólo como zona de libre comercio.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Además, no debemos olvidar que el Tratado de Asunción impone a los estados partes el compromiso de coordinar sus posiciones en las negociaciones comerciales externas que emprendan.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Conclusión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período de transición que el Tratado de Asunción había establecido, como una etapa necesaria a través de la cual se implementarían medidas graduales tendientes a la efectivización del mercado común, ha demostrado la factibilidad de los objetivos trazados por el Mercosur. En efecto, el comercio intra-regional ha crecido notablemente, y el programa de liberación comercial está siendo</w:t>
            </w:r>
            <w:r w:rsidRPr="00EB097F">
              <w:rPr>
                <w:rFonts w:ascii="Arial" w:eastAsia="Times New Roman" w:hAnsi="Arial" w:cs="Arial"/>
                <w:color w:val="003399"/>
                <w:sz w:val="17"/>
                <w:szCs w:val="17"/>
                <w:lang w:eastAsia="es-AR"/>
              </w:rPr>
              <w:br/>
              <w:t>cumplido con relativa puntualidad, tanto en lo referente a la eliminación de barreras arancelarias como de la lista de excepciones.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 reunión celebrada recientemente en Buenos Aires, los estados partes se han puesto de acuerdo en lo referente al arancel externo común, a pesar del pesimismo de algunos, y para la sorpresa de muchos, todo esto parece indicar, que el proceso iniciado años atrás con la firma del Tratado de Asunción, es irreversible, y que en un futuro cercano, el Mercosur será una realidad.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firma del Tratado de Libre Comercio de América del Norte (NAFTA) ha generado grandes expectativas en países latinoamericanos que consideran que en el futuro, los beneficios creados por NAFTA, pueden ser extendidos a otros países que estén dispuestos en liberalizar sus economías.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Mercosur representa el más importante y serio intento de integración en América Latina. La predicción de una futura incorporación de este grupo económico al NAFTA, no es del todo remota e improbable. La propuesta del Presidente Bush de establecer una zona de libre comercio desde Alaska hasta Tierra del Fuego puede ser alcanzada. Por supuesto, este emprendimiento tomará tiempo y esfuerzo, pero el proceso ya se ha iniciado, y dependerá de todos los países de la región, que pueda o no convertirse en realidad.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Tratado de Asunción, Preámbulo y Artículo 8º.</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Tratado de Asunción, Artículo 8º.</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Tratado de Asunción, Artículo 20.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Declaración Número 1 de los Ministros de Relaciones Exteriores del Mercosur.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Declaración Número 2 de los Ministros de Relaciones Exteriores del Mercosur.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 Rachel Shub, 'Recientes Iniciativas de Mercado e Inversión Norteamericana en América Latina y el Caribe'PLI/COP, 1992, 585.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(7) Gary C. Hufbauer y otros, 'Opciones para un orden económico hemisférico', Revista de Derecho Inter-Americano, Universidad de Miami, 1991,261-263.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(8) James R. Hoblein, 'Un caso para el libre comercio', Revista de Derecho Internacional y Comparado, Universidad de Loyola, 1992, 19-20.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(9) Willian H. Cavitt, 'Iniciativas de Libre Comercio en América Latina', Revista Jurídica Mitchell, 1992, 271-283.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(10) Willian H. Cavitt, 'Iniciativas de Libre Comercio en el Hemisferio Occidental', Revista Jurídica Mitchell, 1992, 271-283.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(11) Obra citada numeral 7, pág. 269.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(12) Obra citada, numeral 10, pág. 284.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(13) Rebecca D. Dandeker, El Acuerdo del Jardín Rosa: ¿Es Mercosur el próximo paso hacia una zona de libre comercio hemisférica?', Revista de Derecho y Política de Comercio Internacional, 1992, 57-160.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(14) Este Tratado de Libre Comercio será referido en esta obra como NAFTA.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(15) Houston Bar Association, 'Del Yukón a Yucatán', 1992.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(16) Idem.</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(17) Joseph L. Brand, 'El Nuevo Orden Mundial y los Bloques Comerciales Regionales', Revista de Derecho Internacional de la American University, 1992, 155-165.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(18) Irwing P. Altschuler y Claudia G. Pasche, 'NAFTA: La liberalización del comercio con México', Revista Jurídica de Wake Forest, 1993, 7-10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(19) Idem, pág. 16.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(20) Preámbulo de NAFTA.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(21) Artículo 102, Objetivos f), NAFTA.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(22) Obra citada, numeral 18, págs. 165-167.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(23) Obra citada, numeral 65, pág. 287.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(24) Steve Greenhouse, 'Planes de los Estados Unidos de expandir zonas de comercio', New York Times, 4 de febrero de 1994, Sección D, pág. 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(25) Roberto T. Alemann, 'Es mejor con los vecinos', Diario 'El Clarín', 13 de marzo de 1994, pág. 14.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(26 )Tratado de Asunción, artículo 8.º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3" w:name="3"/>
            <w:bookmarkEnd w:id="3"/>
            <w:r w:rsidRPr="00EB097F">
              <w:rPr>
                <w:rFonts w:ascii="Arial" w:eastAsia="Times New Roman" w:hAnsi="Arial" w:cs="Arial"/>
                <w:b/>
                <w:bCs/>
                <w:color w:val="009933"/>
                <w:sz w:val="20"/>
                <w:szCs w:val="20"/>
                <w:lang w:eastAsia="es-AR"/>
              </w:rPr>
              <w:t>"ANTECEDENTES DE LA DECLARACIÓN DE INDEPENDENCIA DEL PARAGUAY"</w:t>
            </w:r>
            <w:r w:rsidRPr="00EB097F">
              <w:rPr>
                <w:rFonts w:ascii="Arial" w:eastAsia="Times New Roman" w:hAnsi="Arial" w:cs="Arial"/>
                <w:color w:val="003399"/>
                <w:sz w:val="17"/>
                <w:szCs w:val="17"/>
                <w:lang w:eastAsia="es-AR"/>
              </w:rPr>
              <w:br/>
              <w:t>Ricardo Scavone Yegros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lastRenderedPageBreak/>
              <w:t>Tema:</w:t>
            </w:r>
            <w:r w:rsidRPr="00EB097F">
              <w:rPr>
                <w:rFonts w:ascii="Arial" w:eastAsia="Times New Roman" w:hAnsi="Arial" w:cs="Arial"/>
                <w:color w:val="003399"/>
                <w:sz w:val="17"/>
                <w:szCs w:val="17"/>
                <w:lang w:eastAsia="es-AR"/>
              </w:rPr>
              <w:t xml:space="preserve"> Historia Diplomatica del Paraguay</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28" w:anchor="arriba" w:history="1">
              <w:r w:rsidRPr="00EB097F">
                <w:rPr>
                  <w:rFonts w:ascii="Arial" w:eastAsia="Times New Roman" w:hAnsi="Arial" w:cs="Arial"/>
                  <w:color w:val="003399"/>
                  <w:sz w:val="17"/>
                  <w:szCs w:val="17"/>
                  <w:lang w:eastAsia="es-AR"/>
                </w:rPr>
                <w:t>volver arriba</w:t>
              </w:r>
            </w:hyperlink>
            <w:r w:rsidRPr="00EB097F">
              <w:rPr>
                <w:rFonts w:ascii="Arial" w:eastAsia="Times New Roman" w:hAnsi="Arial" w:cs="Arial"/>
                <w:color w:val="003399"/>
                <w:sz w:val="17"/>
                <w:szCs w:val="17"/>
                <w:lang w:eastAsia="es-AR"/>
              </w:rPr>
              <w:t xml:space="preserve">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1. Introducción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consecuencia del movimiento revolucionario de mayo de 1811, el gobernador-intendente del Paraguay Bernardo de Velazco tuvo que resignar parte de su poder y permitir que dos diputados adjuntos ejercieran con él la administración provincial. Accedió asimismo a convocar una Junta de Vecinos para que determinase la forma de gobierno más conveniente a la seguridad de la provincia. Este Congreso, realizado en junio de 1811, resolvió privar del mando al gobernador, establecer en su lugar una Junta Superior Gubernativa integrada únicamente por paraguayos, y excluir de la función pública a los españoles peninsulares. Decidió además que el Paraguay se gobernaría de manera independiente hasta tanto las determinaciones del futuro Congreso de las Provincias del Plata fueran aprobadas por una nueva asamblea.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Quedó conformado así, de hecho, el Estado paraguayo, aunque conservando la denominación de provincia y asegurando aún fidelidad al Rey de España. Su constitución de derecho se produjo en el Congreso de 1813, que resolvió no enviar diputados a la Asamblea de las Provincias Unidas del Plata, cuyas deliberaciones ya se habían iniciado en Buenos Aires. Desde entonces se lo designó con el nombre de República del Paraguay y se omitió toda expresión que implicara reconocimiento de la soberanía del monarca español. Faltó, no obstante, una declaración formal y explícita de independencia.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Durante la dictadura del doctor José Gaspar de Francia, instituida por el Congreso de 1814 y transformada en perpetua por el de 1816, el Paraguay tuvo que soportar un largo y muy pesado aislamiento con el exterior. Sólo el puerto de Itapúa, en la margen derecha del Paraná, fue habilitado, a partir de 1823, para un restringido comercio con el Brasil. A la muerte del dictador, en 1840, la emancipación paraguaya estaba consolidada en el interior, pero no había sido expresamente reconocida por Estado alguno.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marzo de 1841 se reunió un nuevo Congreso General, para resolver el problema de sucesión gubernativa creado por el fallecimiento del doctor Francia. En él se decidió confiar el gobierno a Carlos Antonio López y Mariano Roque Alonzo, con el título de Cónsules de la República. El Congreso determinó también poner fin a la clausura de las fronteras, permitiendo a los nuevos gobernantes iniciar relaciones de amistad y comercio con otros gobiernos, y habilitar para el tráfico mercantil, a más del puerto de Itapúa, el de la Villa del Pilar.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Relaciones con la Provincia de Corrientes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cónsules consideraron que la orientación aprobada por el Congreso debía ejecutarse con la mayor prudencia posible. Se limitaron por tanto a consentir el acceso de buques mercantes hasta Pilar, dejando que los otros gobiernos tomaran la iniciativa para el establecimiento de relaciones amistosas.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 tener conocimiento de la apertura paraguaya, el gobernador de Corrientes, general Pedro Ferré, comisionó a un enviado especial ante López y Alonzo. Su provincia afrontaba en esos momentos una guerra contra el gobernador de Buenos Aires, Juan Manuel de Rosas, quien tenía a su cargo la conducción de las relaciones exteriores de la Confederación Argentina. Un ejército comandado por el gobernador Echagüe de Entre Ríos se aprontaba para someter a la provincia rebelde, mientras los correntinos organizaban sus cuadros bajo la competente jefatura del general José María Paz.</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cónsules no recibieron al enviado de Corrientes, pero le permitieron comunicar por escrito, desde la guardia fronteriza en que había permanecido, los propósitos de su misión. Como ellos consistían en establecer relaciones y proponer el envío de plenipotenciarios para negociar acuerdos de amistad y comercio, López y Alonzo aceptaron recibir a los agentes correntinos, a condición de que vinieran autorizados también para definir la delimitación territorial.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31 de julio de 1841, los gobernantes paraguayos suscribieron en Asunción con los enviados del gobierno de Corrientes un tratado de amistad, comercio y navegación, y otro de límites. En el primero las partes acordaron concederse recíproca libertad de comercio, admitiendo el Paraguay que buques mercantes procedentes de aquella provincia llegasen hasta la Villa del Pilar y que el comercio terrestre pudiera verificarse en determinados puntos fronterizos. El tratado de límites tenía carácter provisorio, y se aclaraba en él que no perjudicaba los derechos del Paraguay, ni los de la Argentina. Era simplemente un 'modus vivendi' con el que se pretendía conjurar conflictos, hasta que se pudiera arribar a una solución definitiva.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Corrientes aprobó ambos tratados en agosto y los mismos entraron en vigencia luego de la entrega en la </w:t>
            </w:r>
            <w:r w:rsidRPr="00EB097F">
              <w:rPr>
                <w:rFonts w:ascii="Arial" w:eastAsia="Times New Roman" w:hAnsi="Arial" w:cs="Arial"/>
                <w:color w:val="003399"/>
                <w:sz w:val="17"/>
                <w:szCs w:val="17"/>
                <w:lang w:eastAsia="es-AR"/>
              </w:rPr>
              <w:lastRenderedPageBreak/>
              <w:t>capital paraguaya de los instrumentos de ratificación. Los acuerdos de 1841 proporcionaban un marco claro y preciso para el normal desarrollo de las relaciones entre el Paraguay y Corrientes. Se inició de esa forma una nueva etapa en la vida internacional de la República, que abandonó mediante compromisos ineludibles la política de aislamiento con el exterior que hasta entonces había normado su conducta (1).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Una presunta expedición porteña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acercamiento entre correntinos y paraguayos no podía pasar desapercibido al gobernador Rosas, siempre atento a cuanto pudiera influir en la guerra contra los que él denominaba 'salvajes unitarios'. En mayo de 1841 se denunció en Corrientes que el gobernador Echagüe había liberado a un oficial correntino aparentemente afecto a la causa rosista, encomendándole que regrese a su provincia y le avise desde allí si realmente existían relaciones entre ella y el Paraguay. 'El Nacional Correntino' comentó la noticia señalando que seguramente Rosas, a quien respondía el gobernador entrerriano, había dispuesto el envío del</w:t>
            </w:r>
            <w:r w:rsidRPr="00EB097F">
              <w:rPr>
                <w:rFonts w:ascii="Arial" w:eastAsia="Times New Roman" w:hAnsi="Arial" w:cs="Arial"/>
                <w:color w:val="003399"/>
                <w:sz w:val="17"/>
                <w:szCs w:val="17"/>
                <w:lang w:eastAsia="es-AR"/>
              </w:rPr>
              <w:br/>
              <w:t>oficial para impedir dicha vinculación, debido a que 'en sus inicuos planes entra y ha entrado siempre atacar la independencia y soberanía'</w:t>
            </w:r>
            <w:r w:rsidRPr="00EB097F">
              <w:rPr>
                <w:rFonts w:ascii="Arial" w:eastAsia="Times New Roman" w:hAnsi="Arial" w:cs="Arial"/>
                <w:color w:val="003399"/>
                <w:sz w:val="17"/>
                <w:szCs w:val="17"/>
                <w:lang w:eastAsia="es-AR"/>
              </w:rPr>
              <w:br/>
              <w:t>del Estado paraguayo (2).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junio siguiente circuló en la misma provincia la noticia de que en Buenos Aires se estaba preparando una expedición con destino al Paraguay. Se decía que una embarcación armada procuraría llegar a territorio paraguayo, quedando por ende las costas correntinas en el Paraná expuestas a una acción sorpresiva de su parte.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Previendo dicha eventualidad, el general Paz recomendó al gobernador delegado Manuel Ferré el armamento de un par de buques o la instalación de puestos militares en algunos puntos de la costa, con el propósito de impedir el tránsito fluvial. A su criterio la llegada de la expedición era perfectamente posible, si se tenía en cuenta que Rosas no se 'dormía' y que las relaciones de Corrientes con el Paraguay le hincaban 'como una molesta espina'. Estaba cierto de que el gobernador de Buenos Aires haría lo que estuviese a su alcance para 'destruir' esos vínculos, 'ganando él la confianza de nuestros vecinos'. En su respuesta el</w:t>
            </w:r>
            <w:r w:rsidRPr="00EB097F">
              <w:rPr>
                <w:rFonts w:ascii="Arial" w:eastAsia="Times New Roman" w:hAnsi="Arial" w:cs="Arial"/>
                <w:color w:val="003399"/>
                <w:sz w:val="17"/>
                <w:szCs w:val="17"/>
                <w:lang w:eastAsia="es-AR"/>
              </w:rPr>
              <w:br/>
              <w:t>gobernador delegado le aseguró que disponía de 'medios más que regulares para molestar e impedir (?) el tránsito del convoy de Rosas al Paraguay', y que sería fácil construir una batería en el lugar apropiado, cuando fuere conveniente (3).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noticias sobre la expedición fueron confirmadas y ampliadas más adelante por Juan Andrés Gelly, un alto funcionario del gobierno uruguayo. Gelly participó al gobernador Ferré que un comerciante inglés residente en Montevideo había salido de esa ciudad con destino al Paraguay, pasando previamente a Buenos Aires para evitar ser detenido en Martín García o para 'concertarse con Rosas'. Le advertía que aunque el viaje se realizaba con el 'pretexto' de entregar un despacho del</w:t>
            </w:r>
            <w:r w:rsidRPr="00EB097F">
              <w:rPr>
                <w:rFonts w:ascii="Arial" w:eastAsia="Times New Roman" w:hAnsi="Arial" w:cs="Arial"/>
                <w:color w:val="003399"/>
                <w:sz w:val="17"/>
                <w:szCs w:val="17"/>
                <w:lang w:eastAsia="es-AR"/>
              </w:rPr>
              <w:br/>
              <w:t>gobierno británico, el sobrecargo de la embarcación iba con el verdadero carácter de agente del gobernador porteño y estaba encargado de 'provocar al Gobierno del Paraguay a un tratado, cuando menos de comercio, pero si es posible, a un tratado como el de la Liga de las Provincias litorales'. Gelly, invocando su condición de paraguayo, pidió a Ferré que transmitiese estas novedades a los cónsules, diciéndole: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'V. E. conoce bien las arterias, y política constante del Gobierno de Buenos Aires sobre todos los Pueblos litorales (?): Este conocimiento (?) le hará penetrar fácilmente todas las consecuencias que puede sacar de sus relaciones y negociados con el Paraguay. Confío en que el buen sentido, y la prudencia del Gobierno de la República inutilizarán los manejos y arterias de Rosas: pero la comunicación sola de sus Agentes con los habitantes del Paraguay, es ya muy peligrosa al sosiego, y a los intereses de la República'.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mismo oficio Gelly aludió, a la eventual afluencia de extranjeros que podría originar el éxito de este viaje, exponiendo su opinión en los siguientes términos: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'Yo cuento que el Gobierno de mi Patria conoce bien sus intereses, y debe saber por la experiencia de lo que ha pasado en toda la América con los Extranjeros, que la política de las nuevas Repúblicas debe estar reducida a esta sabia máxima, Amistad, Paz y Comercio con todas las Naciones, tratados con ninguna; y el Paraguay debe, más que ninguna, ser muy rígido en esto: Porque abrir repentinamente el Comercio y la Comunicación con todo el Mundo, después de 25 años de aislamiento, y bloqueo voluntario, sería abrir sobre esa República la Caverna de las tempestades' (4).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El gobernador correntino envió a los cónsules copia de este documento sin añadir comentarios, pero solicitándoles una opinión sobre la forma en que debía proceder ante la llegada del buque. Al agradecer la remisión de la nota, López y Alonzo manifestaron a Ferré que hubieran preferido conocer sus ideas sobre el tema, dadas las dificultades que ellos tenían 'para estar al corriente de los sucesos'. Coincidiendo con </w:t>
            </w:r>
            <w:r w:rsidRPr="00EB097F">
              <w:rPr>
                <w:rFonts w:ascii="Arial" w:eastAsia="Times New Roman" w:hAnsi="Arial" w:cs="Arial"/>
                <w:color w:val="003399"/>
                <w:sz w:val="17"/>
                <w:szCs w:val="17"/>
                <w:lang w:eastAsia="es-AR"/>
              </w:rPr>
              <w:lastRenderedPageBreak/>
              <w:t>las ideas de Gelly, los cónsules consignaron además que deseaban 'cultivar la paz y amistad con todos', pero que las circunstancias les impedían ajustar muchos tratados o aspirar 'a otros puertos que el de esa provincia, mientras no se pongan de acuerdo las de la República Argentina'. En cuanto a la embarcación del comerciante inglés, admitían que 'las combinaciones' entre la legación británica y el gobierno porteño resultaban llamativas. Sin embargo, recordaron a Ferré el artículo del tratado de amistad en que se salvaba su derecho a mantener comunicaciones oficiales con otros gobiernos, para que lo tuviera presente en caso de arribar a su provincia el referido buque (5)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 el evidente propósito de no crear motivos de fricción entre Corrientes y el Paraguay, el gobernador Ferré decidió permitir el tránsito del buque. El 19 de agosto, escribió a los cónsules para explicarles que sus informes sobre la expedición no buscaban una 'repulsa' de la misma, sino simplemente llenar 'el deber que impone la lealtad entre gobiernos amigos'. Les comunicaba seguidamente que la embarcación sobre la cual versaron las consultas arribó a Goya el día 12, con bandera y patente de Buenos Aires, es decir, reuniendo todos los requisitos para que el gobierno de Corrientes pudiera apresarlo en virtud de 'la guerra que tiene declarada al Tirano de aquella Provincia'. Aseguraba no obstante que 'la circunstancia de ser despachado para esa República', sin restar validez a sus derechos, le proporcionaba la oportunidad de demostrar a los gobernantes paraguayos la 'obsecuencia' de su amistad, por lo que no perturbaría su paso, 'en obsequio al punto a que se dirige' (6).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El comerciante Hughes en Pilar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buque que había despertado tantos temores en los adversarios de Rosas, conducía hacia el Paraguay a Richard B. Hughes, un comerciante inglés radicado en Montevideo. El había obtenido de su gobierno, mediante la intervención del cónsul general británico en dicha ciudad, una nota de presentación para el doctor Francia, con la que creía poder iniciar actividades mercantiles en la República. Decidido a llegar al Paraguay, en los primeros meses de 1841 viajó previamente a Buenos Aires, en donde adquirió un buque y mercaderías. Su embarcación partió a principios de julio, bajo bandera argentina y armada con cuatro piezas de artillería (7).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 segunda quincena de setiembre, Hughes se presentó en Paso de la Patria y desde allí remitió a los cónsules una nota personal, a la que acompañó el despacho oficial del gobierno británico. En su nota refería que el oficio adjunto fue recibido en Montevideo a fines de enero, que a mediados de mayo la legación de su país obtuvo del gobierno de Buenos Aires el 'permiso para cargar el Bergantín La Palma', y que el 5 de setiembre arribó a la ciudad de Corrientes. Explicaba que su presencia en el Paraguay tenía por objeto 'abrir una relación comercial con esta República en la forma y bajo las bases que el Exmo. Gobierno establezca'. Por último hacía llegar a los gobernantes paraguayos las felicitaciones del ministro británico en Buenos Aires, John Henry Mandeville, asegurándoles a nombre de éste que su gobierno estaba dispuesto a 'promover por todos los medios en su alcance una relación con los Señores Cónsules que pudiese ser ventajosa a ambas partes', esperaba que se accediera a la solicitud de Hughes 'como primer paso a tal relación' (8).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despacho oficial estaba firmado por el Vizconde Palmerston, Secretario de Relaciones Exteriores de la Reina de Gran Bretaña, y destinado al doctor Francia, cuya muerte era desconocida en Europa cuando el documento fue redactado. En él, Palmerston pedía al dictador protección para su compatriota, quien viajaba al Paraguay 'con la esperanza de abrir relaciones mercantiles en aquel País'. Manifestaba luego que pese a no tener conocimientos precisos acerca de las leyes que regulaban la actividad comercial de los europeos en la República, entendía que 'la empresa proyectada en esta ocasión por uno de los súbditos de su Majestad' no sería mirada desfavorablemente. Fundaba su convicción en las expresiones que años antes consignó el gobierno paraguayo en un oficio remitido al Cónsul General Británico en Buenos Aires (9). Al mismo tiempo, garantizaba la buena predisposición de su gobierno para promover una vinculación con el Paraguay, destacando que la recepción de Hughes, sería considerada como un primer paso para concretarla (10).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Lord Palmerston no se había limitado por tanto a recomendar y requerir protección para un súbdito inglés. Se valía de la oportunidad para sondear la apertura del Paraguay al comercio británico. Y lo hacía sin exponerse a humillación alguna, dado que Hughes viajaba como particular y con la advertencia de que no debía esperar auxilios de su gobierno en esta aventura. Por dicha razón los vejámenes o descortesías que las autoridades paraguayas pudieran inferirle, no tendrían que ser considerados como ofensivos al honor nacional. Se dejaba en claro de todas maneras, tanto en el oficio de Palmerston como en el mensaje verbal de Mandeville, que la buena acogida que se le brindara serviría para adelantar las relaciones efectivas entre los dos Estados.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Tras imponerse del contenido de ambos documentos, López y Alonzo autorizaron el tránsito del comerciante Hughes, con su buque y tripulación, hasta el puerto de Pilar, a fin de que pudiera 'expender su hacienda a cambio de frutos del país'. Al participar al inglés esta determinación, los cónsules exteriorizaron su deseo de mantener una 'sincera amistad y buena correspondencia con Su Majestad </w:t>
            </w:r>
            <w:r w:rsidRPr="00EB097F">
              <w:rPr>
                <w:rFonts w:ascii="Arial" w:eastAsia="Times New Roman" w:hAnsi="Arial" w:cs="Arial"/>
                <w:color w:val="003399"/>
                <w:sz w:val="17"/>
                <w:szCs w:val="17"/>
                <w:lang w:eastAsia="es-AR"/>
              </w:rPr>
              <w:lastRenderedPageBreak/>
              <w:t>Británica y sus ministros'. Le anunciaron que oportunamente responderían el oficio de lord Palmerston, y le pidieron que agradeciera al ministro Mandeville por sus felicitaciones. El mismo día ordenaron al comandante de Pilar que atendiese al comerciante inglés 'con demostraciones de amistad', ofreciéndole casa y 'cualquier auxilio que necesite' (11).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Después de recibir el aviso de los cónsules, Hughes les remitió una segunda nota en la que expresó su reconocimiento por la 'franquicia' que se le había acordado y comunicó su próxima partida hacia la Villa del Pilar. En la ocasión, transmitió un encargo del gobierno de Buenos Aires que curiosamente no había mencionado hasta ese momento. Indicaba que el gobernador delegado de aquella provincia, Felipe Arana, le había pedido que hiciera llegar a los gobernantes paraguayos 'las seguridades de su más alta consideración' y que les asegurase sus 'vivos deseos' de entablar con ellos 'relaciones de buena correspondencia y amistad' (12).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revelación de tal mensaje, luego de haber obtenido el permiso para llegar hasta Pilar, aumentó la desconfianza de los cónsules en cuanto a los verdaderos propósitos del viaje de Hughes. La comunicación confirmaba en alguna medida las advertencias de Gelly acerca de un entendimiento entre el gobierno porteño y el comerciante inglés. Las prevenciones de López y Alonzo tomaron cuerpo poco después, cuando llegó a sus manos un documento interceptado por los correntinos, y que el gobernador Ferré les remitiera por contener 'fuertes referencias' sobre</w:t>
            </w:r>
            <w:r w:rsidRPr="00EB097F">
              <w:rPr>
                <w:rFonts w:ascii="Arial" w:eastAsia="Times New Roman" w:hAnsi="Arial" w:cs="Arial"/>
                <w:color w:val="003399"/>
                <w:sz w:val="17"/>
                <w:szCs w:val="17"/>
                <w:lang w:eastAsia="es-AR"/>
              </w:rPr>
              <w:br/>
              <w:t>el Paraguay, en cuanto 'a las miras que el Tirano Rosas tiene sobre su porvenir' (13).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trataba de una nota de fecha 10 de junio de 1841, dirigida por el gobernador porteño al general Echagüe, en la que consignaba respecto del gobierno paraguayo lo siguiente: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es cierto que todos los informes coinciden en que los tales Cónsules son unos baguales, o unos muñecos, de los que podría sacarse gran partido: pero no obstante lo urgente por ahora es que no se liguen a los salvajes unitarios de Corrientes, contemplándolos, halagándoles, e infundiéndoles confianza. Lo demás vendrá después'.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Rosas recordaba seguidamente al gobernador entrerriano su posición contraria a la emancipación del Paraguay, asegurando que la Confederación Argentina tenía derecho a exigir que los paraguayos adoptaran 'el sistema santo y nacional de la federación'. Entendía no obstante que por el momento lo más apropiado era evitar que sus pretensiones se conocieran. Y reiterando lo expuesto con anterioridad, concluía diciendo: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'Usted ve, compañero, que por poco que esos hombres quisieran hacer hoy contra nosotros, en unión de los salvajes Ferré, Paz y demás cabecillas nos podrían reducir a una situación crítica. Algo hay de cierto en lo que a usted le han dicho; algo medito con tendencia a infundirles confianza, y atraerlos' (14).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oficio del gobernador de Buenos Aires permitió a los cónsules apreciar mejor los alcances de las protestas de amistad que les hizo llegar, por medio de su gobernador delegado y de un comerciante extranjero. Al tiempo de agradecer al general Ferré por el envío del documento ?cuya autenticidad no pusieron en duda?, López y Alonzo manifestaron que el mismo les había ayudado a comprender el mensaje transmitido por Hughes, que reproducían a fin de que el gobernador correntino pudiera compararlo 'con la carta interceptada' y ver 'cumplido el anuncio de infundirnos confianza' (15).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Explicaciones de Hughes y visita a la Capital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informaciones recibidas por el gobierno paraguayo no eran graves, pero demandaban un proceder cauteloso. La nota en que Rosas anunciaba la adopción de medidas para ganar la confianza del gobierno paraguayo, las advertencias sobre el intento de utilizar la expedición británica, los encargos del gobierno de Buenos Aires revelados por Hughes y la llegada de este último en una embarcación con bandera argentina, eran indicios que en conjunto bien podían despertar alarma. De todos modos, López y Alonzo conservaron la calma, decidiendo antes que nada pedir al comerciante inglés que explicara los aspectos oscuros de su viaje.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5 de octubre, es decir dos semanas después de autorizar su ingreso, los cónsules dispusieron que cuando la embarcación de Hughes enarbolase 'el pabellón de Buenos Aires', el comandante de Pilar planteara a su dueño algunas preguntas redactadas por el gobierno. En consecuencia, el inglés fue citado de inmediato para responder a dicho interrogatorio.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la primera pregunta se indagaba sobre el motivo por el cual el buque que lo conducía no venía 'con el pabellón de su nación', cuando que su viaje tenía por objeto la entrega de 'una comunicación oficial del Gabinete inglés', y lo estaba verificando con 'pasaporte expedido en Londres'. El comerciante contestó que el gobierno de Buenos Aires se había negado a permitir que viniera con 'pabellón inglés', explicándole 'que hasta ahora no ha sido permitido entrar en el río Paraná ningún buque extranjero, y que para admitir </w:t>
            </w:r>
            <w:r w:rsidRPr="00EB097F">
              <w:rPr>
                <w:rFonts w:ascii="Arial" w:eastAsia="Times New Roman" w:hAnsi="Arial" w:cs="Arial"/>
                <w:color w:val="003399"/>
                <w:sz w:val="17"/>
                <w:szCs w:val="17"/>
                <w:lang w:eastAsia="es-AR"/>
              </w:rPr>
              <w:lastRenderedPageBreak/>
              <w:t>era preciso que estuviesenconformes con todas las demás provincias Santa Fe, Bajada y Corrientes'. Por ello creyó conveniente 'traer pabellón argentino', ya que el buque había sido adquirido en Buenos Aires y tenía ese origen.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segundo término se le pedía que aclare si el hecho de venir con bandera argentina estaba destinado a inferir un 'desaire a la independencia de la República', o si con él 'el tal Gobernador de Buenos Aires' pretendía dar a entender que el Paraguay, 'con quien no se halla en correspondencia', formaba parte de su territorio. También se indagaba sobre si esto ?en aparente alusión al uso del pabellón argentino, pero refiriéndose más bien al viaje de Hughes? constituía 'un modo de comenzar a sacar de nosotros el gran partido que anunció a su Teniente en la Carta interceptada de 10 de junio último'. Aunque sin mencionar</w:t>
            </w:r>
            <w:r w:rsidRPr="00EB097F">
              <w:rPr>
                <w:rFonts w:ascii="Arial" w:eastAsia="Times New Roman" w:hAnsi="Arial" w:cs="Arial"/>
                <w:color w:val="003399"/>
                <w:sz w:val="17"/>
                <w:szCs w:val="17"/>
                <w:lang w:eastAsia="es-AR"/>
              </w:rPr>
              <w:br/>
              <w:t>concretamente el contenido de ese documento, se decía a Hughes que él probaba 'la falsedad y miras dobles de tal Gobernador de Buenos Aires con este Gobierno', al que insultaba 'sin el más mínimo antecedente'. Se añadía que con el oficio en cuestión, el gobernador Rosas dejaba entender 'las protestas de sus vivos deseos de entablar relaciones', transmitidas por el mismo Hughes.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 responder la interrogación, el comerciante inglés reveló otro encargo del gobierno de Buenos Aires. Primeramente negó que el uso del pabellón argentino tuviera por finalidad menospreciar la independencia de la República o dar a entender que el Paraguay formaba parte de la Confederación Argentina. Afirmaba por el contrario, que el gobernador porteño le había manifestado deseos de establecer relaciones con los cónsules y siempre le habló 'como ajeno del territorio del Paraguay', encareciéndole el respeto a las leyes de 'esta República independiente'. Declaró también que el gobierno de Buenos Aires mandaba asegurar a los cónsules 'que los buques mercantes del Paraguay, y los Paraguayos si llegase el caso de irse allá serían muy bien recibidos'. En cuanto a la nota del 10 de junio, expresó que no la conocía y que muy bien podría 'haberla formado ideadamente algún sujeto'.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último se planteó a Hughes una pregunta no exenta de ironía. Se le consultó si él o el 'tal Gobernador de Buenos Aires' vería bien que a su regreso se le impusiera 'que guarde el pabellón de su nación y que enarbole el de la República en Buenos Aires, o en otros puertos sean o no de su dependencia'. El comerciante contestó que sí se 'animaría' a hacerlo, porque el pabellón paraguayo inspiraría más respeto en su tránsito y 'en Buenos Aires ha de ser bien recibido' (16).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explicaciones de Hughes fueron comunicadas a los cónsules, quienes a su vez le dieron a conocer, siempre por medio del comandante de Pilar, sus opiniones respecto de las mismas. Le hicieron decir en primer término que 'el Gobernador de Buenos Aires no es árbitro para interceptar el derecho de la República a la navegación del Paraná, y de consiguiente el acceso libre de cualquier buque en calidad de amigo o en demanda de amistad'. No podía por tanto imponer la 'condición extraña' de que las embarcaciones se presenten en puerto paraguayo con pabellón argentino, y 'no con el que corresponda a la nación del viajero'. Expresaban seguidamente con firmeza 'que la bandera de Buenos Aires en nuestro puerto es tan extranjera como la del inglés', significando que al exigir la venida del buque al Paraguay con ese pabellón, el gobernador porteño había 'postergado y hostilizado el derecho de este Gobierno a la libertad de sus comunicaciones oficiales, y a las relaciones amigables de comercio'.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Asimismo, los gobernantes paraguayos mandaron decir a Hughes que en Corrientes no había sido bien visto el libre tránsito de un buque con pabellón de Buenos Aires, y que sólo fue admitido en cumplimiento del tratado de amistad, 'cuya observancia es muy honrosa en la ocasión al Gobierno de aquella provincia que (?) se ha hecho superior a su resentimiento y a su derecho'. Por último determinaron que se restituyeran a 'Don Ricardo' las guías revisadas, previa advertencia de que el letrero colorado que decía 'Mueran los salvajes unitarios', podía usarlo el gobernador Rosas 'en los puertos de su dependencia (?) y no en nuestras playas independientes de unitarios y federales', más aún teniendo en consideración las relaciones de amistad y comercio que existían entre la República y la provincia de Corrientes, 'comprendida en la clasificación de unitarios' (17).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López y Alonzo expresaron de esta manera su disconformidad y rechazo ante la arbitraria exigencia del gobernador de Buenos Aires. Pretendían sin duda que Hughes hiciera presente esta postura a otros comerciantes interesados en llegar a territorio paraguayo. Pero habrán querido también que ella fuese conocida por Rosas, pues resultaba evidente que Hughes debía rendir alguna cuenta sobre la forma en que cumplió los encargos del gobierno porteño. Eso explica, por ejemplo, la mención de la nota del 10 de junio, los calificativos utilizados en relación a la conducta de aquel gobierno, y la ratificación de la amistad con Corrientes, que parecía preocupar sobremanera a Rosas.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comandante de la Villa del Pilar citó nuevamente a Richard B. Hughes, para leerle las puntualizaciones realizadas por los cónsules a partir de sus declaraciones. El comerciante se limitó a responder que las mismas le parecían 'conformes a la razón'(18). Con esto, López y Alonzo dieron por terminado el incidente, y el 15 de octubre indicaron a Hughes que por las explicaciones que había proporcionado quedaban 'inteligenciados de su sinceridad', invitándole a viajar con alguno de sus acompañantes hasta Asunción para celebrar 'una entrevista' (19).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Hughes arribó el 23 de octubre a la capital, donde fue recibido en forma 'cortés pero grave'. El cónsul López le aseguró que los ingleses interesados en comerciar con el Paraguay 'podrían llegar libremente a los puertos de Ñeembucú (Pilar) e Itapúa', y expresó el deseo de recibir en el país a médicos, farmacéuticos, artesanos y mecánicos ingleses (20). El 25 de octubre ya estaba de regreso en Pilar, y desde allí remitió a los cónsules algunos impresos, que le habían sido entregados por el gobernador delegado Arana, para que los hiciera llegar al gobierno del Paraguay de parte suya (21).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Después de haber concluido sus actividades mercantiles, Hughes recibió, en enero de 1842, su pasaporte y tres oficios dirigidos por los cónsules al Secretario de Estado Palmerston, al ministro Mandeville y al Cónsul General Británico en Montevideo, respectivamente. En la nota a la que acompañaron dichos documentos, López y Alonzo reiteraron al comerciante inglés lo que le habían asegurado 'a viva voz', en cuanto a la habilitación de los puertos de Pilar e Itapúa 'para sus especulaciones mercantiles'. Además le recordaron el pedido de agradecer al ministro Mandeville por sus 'comunicaciones', y de expresarle el deseo del Paraguay de 'guardar una amistad pura con Su Majestad Británica y toda su nación'. Por intermedio del comandante de Pilar le pidieron además, en forma verbal, que no olvidase el encargo de manifestar al gobernador de Buenos Aires, la gratitud del gobierno paraguayo por la remisión de sus impresos, pero no se refirieron en forma alguna a la propuesta de establecer relaciones amistosas (22).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los despachos oficiales remitidos por los gobernantes paraguayos, el principal era el destinado al Secretario Británico de Relaciones Exteriores, en respuesta de la nota del 31 de octubre de 1840. En dicho documento explicaban que el Congreso General de 1841 había fijado como 'puntos de tráfico y mercancía' el de 'la Villa del Pilar en el río Paraguay, y el de Itapúa en (el) Paraná'. En tal virtud, cuando el comerciante Hughes 'se anunció en la frontera (?) conduciendo un bergantín con mercancía', se dispuso que se le brindara a más de protección, 'hospitalidad franca y generosa', y que se le permitiera concluir sus negocios en Pilar. Agregaban que se había permitido el viaje del mencionado comerciante hasta la capital, a fin de que tuviera oportunidad de apreciar 'más de cerca los benévolos sentimientos y consideraciones del supremo gobierno'. Señalaban que en tanto 'las cosas de los estados vecinos y litorales no presenten la deseada estabilidad', no se podría arribar a un 'arreglo fijo' entre Gran Bretaña y el Paraguay, añadiendo: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Supremo Gobierno del Paraguay se ha trazado una línea de conducta pública como lo exige la realidad de las cosas; entra en combinación de esta conducta guardar con todas las naciones extranjeras una amistad pura sin otro género de convenciones o pactos' (23).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Luego de más de cuatro meses de permanencia, Hughes regresó a Montevideo y desde allí remitió a su gobierno, en marzo de 1842, una relación de su viaje (24). Es probable que al pasar por Buenos Aires haya transmitido al gobernador Rosas o a sus colaboradores los mensajes de López y Alonzo. Soares de Souza deduce esto último tomando en cuenta la publicación, también en el mes de marzo, por 'La Gaceta Mercantil' de Buenos Aires de una oración fúnebre en memoria del dictador Francia, con la afirmación de que durante el gobierno de Rosas no se había escrito en esa capital en contra del Paraguay, ni del gobernante fallecido o su política. Como la acción pública del doctor Francia estuvo dirigida a consolidar la independencia paraguaya, resultaba lógico concluir que al no haberse opuesto, el gobernador porteño estaba conforme con ella. El ilustre historiador brasileño considera por tanto que ese comentario periodístico constituía 'una satisfacción de momento que no obligaba para el futuro' (25).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 El Paraguay frente a la guerra contra Rosas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Cuando Hughes llegó a Pilar, la lucha entre federales y antirrosistas en suelo correntino ingresó a una etapa de definiciones. El desarrollo de la misma fue seguido con creciente interés por los cónsules, sobre todo después de conocer las ideas que sostenía el gobernador de Buenos Aires en cuanto a la independencia del Paraguay. Con esos antecedentes, era natural que a más de importarles la suerte del gobierno con el que mantenían relaciones amistosas, les preocupase además que la influencia de Rosas se extendiera hasta la frontera con el Paraguay.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29 de setiembre, conociendo ya el contenido de la reveladora nota del 10 de junio, López y Alonzo expresaron al gobernador Ferré sus deseos de mantenerse al tanto de 'las noticias de importancia que ocurran en la causa' y destacaron la valentía demostrada por los correntinos 'en la defensa de su libertad e independencia' (26).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Antes de recibir esta comunicación, el general Ferré participó al gobierno paraguayo ?el 30 de setiembre? que 'un ejército de la dependencia del usurpador de Buenos Aires y al mando de su Teniente don Pascual Echagüe' había invadido territorio de Corrientes. Días después, atendiendo ya al pedido de los cónsules, que calificó como 'la prueba más recomendable de la verdadera y sincera amistad que nos une', el gobernador les reiteró la noticia, asegurando que sus enemigos avanzarían 'hasta que en una batalla se decida la suerte de nuestra Patria'(27).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Al enterarse de la invasión a Corrientes, López y Alonzo determinaron la partida hacia Pilar de un grupo de artilleros, y de una 'cañonera bien armada', a la que se sumarían posteriormente otras tres embarcaciones. Los cónsules participaron al gobernador Ferré la adopción de estas medidas destinadas a precautelar el comercio paraguayo-correntino, expresándole que 'la fama del Jefe que comanda el ejército de Corrientes, el valor de sus guerreros, y el denuedo con que se anuncian sus habitantes a vengar los ultrajes de Pago Largo', pronosticaban 'el suceso por la causa de la libertad, y de la independencia'(28).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Gobernador Ferré no dejó de percibir las manifestaciones de simpatía hacia la causa correntina contenida en estos documentos y el 8 de octubre señaló a los cónsules que las medidas dictadas por ellos eran 'una prueba de su pronunciamiento', y que 'la cooperación activa de la República del Paraguay sería el agüero más cierto de la victoria'. En el mismo oficio, les aseguró que su provincia tenía 'todas las probabilidades del triunfo', pero que en caso de ocurrir lo contrario le quedaría a él la satisfacción de haber hecho todo cuanto estuvo a su alcance (29).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gobierno paraguayo no estaba dispuesto empero a modificar tan radicalmente su política de neutralidad. Al contestar la nota de Ferré, los cónsules renovaron sus expresiones amistosas, pero pasaron por alto la referencia que en ella se hacía acerca de la cooperación del Paraguay. Se limitaron a decir que por las noticias contenidas en la misma veían 'la probabilidad del triunfo', y reconocían el heroísmo del gobernador, 'interesándose en la conservación y felicidad de su persona' (30). De este modo, al no aceptar ni desmentir la eventual ayuda, el gobierno consular reafirmaba su decisión de mantener al Paraguay fuera de los conflictos entre vecinos, pero sin desentenderse de ellos.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gobernador correntino comprendió el silencio de los cónsules, y al acusar recibo de su último oficio no volvió a mencionar el tema de la colaboración. Expresó sí su complacencia por 'los más puros sentimientos de interés' que exteriorizaron en favor del 'triunfo de la causa pública que defiende esta Provincia' (31).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fines de octubre Ferré informó a López y Alonzo sobre un probable plan para poner fin a las relaciones entre Corrientes y el Paraguay, cuya existencia dedujo de algunos datos recogidos por su edecán en el Uruguay. El plan consistía según Ferré, en convertir al Paraguay en un 'Estado tumultuario (?) dividiendo la opinión para hacer zozobrar al menos la presente administración'. Como sus vinculaciones con el gobierno de Corrientes eran 'un obstáculo poderoso' para concretar ese proyecto, el 'trabajo preliminar' consistiría en vencerlo, 'introduciendo el desacuerdo'. La 'maniobra' se iniciaría en el Paraguay, ya que se lo suponía 'fuera del teatro de la Revolución y en consecuencia, sin los antecedentes de las miras, y modos de obrar tortuosamente que en ella se desenvuelven'. Precisando sus informaciones, el gobernador indicaba que el señor Fortunato Gómez, con el pretexto de 'negocios mercantiles', venía a la República para 'derramar clandestinamente la semilla de disconformidad entre ambos gobiernos y dar buen lugar a ese don Andrés Gelly, quien está al timón de este negocio'.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Después de exponer los hechos, el general Ferré sugirió que el gobierno paraguayo acreditase ante el de Corrientes 'un enviado para tratar sobre asuntos de Estado' y recibir informes detallados acerca de la situación política del Río de la Plata. Para el caso de no poder hacerlo, el gobernador se ofrecía a comisionar ante los cónsules a uno de los miembros de su administración, en calidad de ministro plenipotenciario (32). Esta propuesta explica, a falta de otros elementos de juicio los verdaderos alcances de la denuncia realizada por el gobernador correntino. En efecto, aun siendo verídica la información, resultaba a todas luces innecesario recurrir a misiones diplomáticas para contrarrestar el supuesto plan sedicioso. Se trataba de un peligro bastante remoto, ya que habría sido proyectado en el exterior y que aparentemente lo dirigía una persona, Juan Andrés Gelly, desarraigada por completo del país desde décadas atrás. No es por tanto descabellado suponer que el gobierno correntino aprovechaba esta información para facilitar contactos que le permitiesen obtener un entendimiento con el Paraguay, en vísperas de decidirse por las armas la suerte de su provincia.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pesar de las atenciones que debían al gobernador Ferré, los cónsules no aceptaron el envío de agentes diplomáticos indicando en su respuesta: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dos individuos nativos de este país que se anuncian destinados para agenciar la división y el tumulto, a más de estar sindicados desde la administración anterior, no son capaces de manejar la intriga. Así es que de su diligencia no podía esperarse otro resultado que su escarmiento, y el descubrimiento del ovillo por el hilo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Serán vanos los trabajos que lleguen a emplearse para ponernos en desacuerdo con el Gobierno de esa Provincia. Mucho apreciamos el carácter firme y franco de V.E. y cuando le extendimos la mano de amigo, ya nos habíamos hecho cargo de los celos que esto podía inspirar a los enemigos de la causa pública de su patria'.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López y Alonzo reconocían pues la conducta leal que el gobernador correntino había observado en sus relaciones con el Paraguay, y anticipaban la inutilidad de los esfuerzos tendientes a enemistarlos. Pero en cuanto a la designación de agentes diplomáticos no concordaban con él, argumentando que como los proyectos eran 'de ningún valor, ni efecto', debían limitarse de momento a 'observar con cuidado, los primeros pasos de la indicada misión' (33).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cónsules accedieron en cambio a una solicitud del general Ferré para expatriar temporalmente a territorio paraguayo a 'algunos facciosos' de su provincia. El gobierno correntino debía conducirlos para el efecto hasta la guardia de Paso de la Patria, de donde serían trasladados a Villarrica (34). El 17 de noviembre partieron hacia la frontera los desterrados Mariano Araujo, José Laureano Barganza, Ignacio Alfonzo, Félix Vallejos, Juan Bautista Aguirre, Vicente Lovera y Alejandro Argüello(35). En la misma fecha, Ferré comunicó que los señores Teodoro Gauna y Fernando Zamudio, quienes también iban a ser expatriados, habían escapado hacia el Paraguay, y pidió que en su oportunidad se los destinase al lugar 'donde bajan sus compañeros y cómplices' (36). Los citados correntinos se habían presentado días antes en el campamento de San José, donde expusieron los motivos de su fuga y solicitaron la protección del gobierno paraguayo (37).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Pese a existir un pedido de internación, los cónsules concedieron asilo a Gauna y Zamudio, bajo la condición de que no atentasen 'contra la seguridad y tranquilidad de la República' y de que se abstuviesen 'de toda correspondencia que pueda revocar en duda su lealtad a este gobierno y al de su patria' (38). Al conocer esa determinación, el gobernador correntino solicitó nuevamente a los cónsules que retirasen de la frontera a 'estos presuntos reos del Estado', ya que desde allí podrían perturbar 'el orden político de la Provincia' (39). El gobierno paraguayo se mantuvo en su decisión original, por entender que no debía modificar tan fácilmente sus providencias, ni presumir que los asilados, 'por muy malos que sean', abusarían del favor que se les hizo. No se creyó correcto expulsarlos del lugar en que estaban 'por meras presunciones'. Se decidió simplemente requerir de Gauna y Zamudio que, bajo juramento, se ratificaran en los compromisos que asumieron por su condición de asilados(40).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Mientras se discutían los problemas de expatriados y asilados, los aprestos militares prosiguieron y el 28 de noviembre se libró en el bañado de Caaguazú una batalla decisiva, en la que las fuerzas correntinas obtuvieron el triunfo. El general Ferré participó a los cónsules la novedad el mismo día en que tuvo conocimiento de ella, y los congratuló por este acontecimiento plausible 'para todos los hombres que aman los principios de humanidad'. López y Alonzo, al imponerse de la noticia, también hicieron llegar sus felicitaciones al gobernador y 'a toda la provincia de su mando', señalando que 'la terquedad y espíritu de dominación han recibido una lección amarga en el suceso memorable' (41).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 Paraguay y Corrientes durante 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Luego de la derrota de Caaguazú, el general Echagüe se vio obligado a retirarse de la provincia de Corrientes con los restos de su ejército. Ferré significó a los cónsules que debido al 'completo exterminio del Ejército invasor (?) el teatro de la guerra no será ya el territorio de esta Provincia'. Y el 9 de diciembre, al remitir el parte detallado de la batalla de Caaguazú, felicitó nuevamente a López y Alonzo 'por tan completa victoria, que deseaban vivamente animados de los sentimientos de justicia, libertad y humanidad que tanto los distingue' (42).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lugar a dudas el repliegue del Ejército Federal hasta Entre Ríos, importaba el alejamiento de un peligro que el gobierno paraguayo no había dejado de entrever. La guerra contra el gobernador de Buenos Aires ingresó a una nueva etapa. En enero de 1842 el ejército correntino invadió la provincia de Entre Ríos, gobernada desde principios de año por el general Justo José de Urquiza. A mediados del mismo mes el ejército uruguayo, bajo el mando del presidente Fructuoso Rivera, ingresó a territorio entrerriano, obligando a las tropas de Urquiza a retroceder sus posiciones más al sur, y finalmente a cruzar el Paraná. El 29 de enero, la Sala de Representantes de Entre Ríos confió provisoriamente el gobierno provincial a Pedro Pablo Seguí.</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febrero el general Ferré viajó hasta la capital entrerriana para considerar con el gobernador Seguí, el gobernador Juan Pablo López de Santa Fe y el general Paz las futuras acciones militares. Ferré escribió desde Paraná a los gobernantes paraguayos y les informó de la 'oportuna' ocupación de Entre Ríos, consignando que en esa provincia se había recibido 'al Ejército de Reserva como su libertador', y abrazado 'los principios de la Revolución con entusiasmo y decisión'. Les anunció que Corrientes, Entre Ríos y Santa Fe se aprontaban para 'derrocar al Tirano y arrojarlo de la silla bañada en sangre en que está sentado', lo que demoraría únicamente el tiempo necesario para la 'reunión de los elementos' (43).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lugar de fortalecer la alianza, el encuentro de Paraná profundizó las desinteligencias que existían en el seno de ella, especialmente entre los generales Ferré y Paz. Este último considerándose en situación de inferioridad por no investir representación popular alguna, consiguió que la legislatura provincial lo </w:t>
            </w:r>
            <w:r w:rsidRPr="00EB097F">
              <w:rPr>
                <w:rFonts w:ascii="Arial" w:eastAsia="Times New Roman" w:hAnsi="Arial" w:cs="Arial"/>
                <w:color w:val="003399"/>
                <w:sz w:val="17"/>
                <w:szCs w:val="17"/>
                <w:lang w:eastAsia="es-AR"/>
              </w:rPr>
              <w:lastRenderedPageBreak/>
              <w:t>eligiera, el 12 de marzo, gobernador titular de Entre Ríos. Ferré resolvió entonces sustituirlo en el mando del ejército de su provincia, y ordenar el regreso de sus tropas a Corrientes, con la explicación de que debía reorganizarlas y equiparlas.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conocer los últimos acontecimientos, López y Alonzo respondieron el 16 de marzo la nota que el gobernador Ferré les escribió desde Paraná, con expresiones mucho más moderadas que las de anteriores oficios. Se limitaron a expresar el deseo de que los esfuerzos del gobernador correntino 'por el voto libre de los pueblos para la organización de la República Argentina, sean el despertador de la buena inteligencia entre pueblos hermanos y el término de tantas guerras fratricidas' (44).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5 de abril el general Ferré comunicó a López y Alonzo que había regresado a Corrientes, y les explicó que ni él, ni su ejército podían permanecer en Entre Ríos, 'por haber llenado su misión primaria' y por tener que 'prepararse organizando sus fuerzas para una nueva campaña'. Señaló que su determinación obedecía también al deseo de 'dejar en completa libertad al Exmo. Gobierno electo (de aquella provincia), para que se expidiese con la franqueza de su elevación' (45). En realidad, el gobernador correntino había dejado al general Paz en un estado de casi completa indefensión.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las diversas alternativas de la guerra contra el gobernador de Buenos Aires, no preocupaban ya la gobierno paraguayo como cuando las acciones militares se desarrollaron en la provincia vecina. Por lo demás y a pesar de la guerra, las relaciones de amistad y comercio con Corrientes continuaron desenvolviéndose con absoluta normalidad.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Ambos gobiernos dieron constantes muestras de interés por facilitar el intercambio bilateral. Días antes de la batalla de Caaguazú, la legislatura correntina sancionó una ley por la cual se admitía el ingreso a la provincia de mercaderías en tránsito por un plazo de noventa días, abonando sólo una pequeña tasa en concepto de eslingaje. En sus considerandos se consignaba que la medida obedecía a la 'vasta extensión' que había tomado la actividad mercantil 'con motivo de la apertura del Paraguay', y a que el 'tráfico a aquel mercado y de él a los demás puertos de abajo' se hacía a través de Corrientes, 'donde generalmente hacen escala todos los buques' (46).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febrero de 1842, los cónsules también exteriorizaron su deseo de preservar el comercio con los correntinos. De acuerdo con el Reglamento de Aduanas de enero de ese año, los aranceles aduaneros debían cancelarse en el Paraguay la mitad en plata sellada o en oro y la otra mitad en la forma usual, es decir, en mercaderías. El gobernador Ferré pidió que se exonerara de esta obligación a los comerciantes de su provincia, argumentando que por estar prohibida en Corrientes la extracción de metales, el comercio con el Paraguay no podría continuar 'sin la manifiesta infracción de una u otra resolución'. López y Alonzo contestaron que el pago en metálico estaba 'fundado en necesidad y justicia', pues se tenía que reparar 'la deficiente situación de las rentas públicas, aboliendo gradualmente la satisfacción de derechos en mercaderías introducidas'. No obstante, considerando la amistad que existía entre los dos gobiernos, decidieron hacer una excepción a favor de los comerciantes correntinos (47).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dictaron además disposiciones recíprocas sobre desertores y prófugos. En abril de 1842, los cónsules informaron al general Ferré, que habían dado órdenes terminantes de no permitir el ingreso a la República de soldados desertores y esclavos prófugos de otros países. Correspondiendo a esta decisión, tan oportuna ante la guerra que afrontaba, el gobierno correntino comunicó a vuelta de correo el decreto que había dictado en fecha 26 de abril. En el mismo se establecía que, dadas las buenas relaciones que mantenía con los gobiernos amigos y en especial con el del Paraguay, 'con quien esta provincia hace una carrera política nivelada en igualdad de principios recíprocos', se ordenaba a los comandantes de frontera que bajo ninguna circunstancia admitieran desertores, esclavos o criminales de los estados limítrofes (48).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Pero pronto reaparecieron las dificultades. En agosto de 1842, el gobernador Ferré decidió cerrar los puertos de su provincia para la navegación de 'aguas abajo'. Al comunicar esta decisión al gobierno paraguayo, reconoció que la clausura iba a ocasionar serios perjuicios al comercio, y dejó en claro que la prohibición no afectaría a las embarcaciones del Paraguay. En respuesta, los cónsules manifestaron que apreciaban la determinación de no detener los buques mercantes de la República, pero que no podían dejar de señalar que la medida adoptada importaba la 'obstrucción de un camino común, que no se sabe cuándo quedará libre de graves obstáculos para nuestro comercio'(49).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clausura de los puertos correntinos denotaba el incontenible deterioro de la situación militar de los aliados contra Rosas. Antes de fin de año la Provincia de Corrientes sería nuevamente invadida, pero esta vez el triunfo correspondería a los partidarios del gobernador de Buenos Aires.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8. Las Relaciones Exteriores del Paraguay en 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Los cónsules utilizaron la facultad de establecer relaciones de amistad y comercio con otros gobiernos en forma sumamente cautelosa. Hasta fines de 1842, se contentaron con suscribir acuerdos y mantener </w:t>
            </w:r>
            <w:r w:rsidRPr="00EB097F">
              <w:rPr>
                <w:rFonts w:ascii="Arial" w:eastAsia="Times New Roman" w:hAnsi="Arial" w:cs="Arial"/>
                <w:color w:val="003399"/>
                <w:sz w:val="17"/>
                <w:szCs w:val="17"/>
                <w:lang w:eastAsia="es-AR"/>
              </w:rPr>
              <w:lastRenderedPageBreak/>
              <w:t>relaciones singulares sólo con la provincia de Corrientes. Y en lugar de interpretar con amplitud los alcances de la autorización congresal, López y Alonzo la restringieron, al decidir que guardarían 'con todas las naciones extranjeras una amistad pura sin otro género de convenciones o pactos'.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Todos los intentos por alterar esa determinación fracasaron. En octubre de 1841, el Ministro de Relaciones Exteriores del Uruguay ofreció designar un Ministro Plenipotenciario ante el gobierno paraguayo, para negociar 'ajustes (?) explícitos y solemnes, que consulten y aseguren los intereses mercantiles de ambas Repúblicas'. La iniciativa no fue aceptada por los cónsules, quienes expresaron que les parecía conveniente suspender 'toda negociación explícita y solemne, hasta que renazca una paz firme que conjure para siempre el doloroso estrépito de las armas en pueblos hermanos'.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disculpa fue calificada por Juan Andrés Gelly, Oficial Mayor de la cancillería uruguaya, como 'un pretexto que no es muy fundado', puesto que si no podían firmar tratados con el Uruguay por causa de la guerra, tampoco hubieran podido hacerlo con Corrientes (50). Meses después, los cónsules explicaron que la negativa se había debido a 'circunstancias supervinientes (que) se pusieron de por medio sin dejar un camino más prudente que el de adoptar una base conciliativa de pura amistad y buena fe con los Estados Republicanos hasta mejores circunstancias' (51).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También la República de Río Grande, segregada del Imperio del Brasil, procuró vanamente establecer relaciones con el Paraguay. Su Ministro Plenipotenciario ante el gobierno de Corrientes propuso a los cónsules la suscripción de acuerdos de amistad y comercio. Pero apreciando sin duda los peligros y compromisos que entrañaba la iniciativa, López y Alonzo respondieron que resultaba innecesaria cualquier estipulación, puesto que los brasileños 'sin distinción de opiniones' podían llegar libremente hasta los puntos habilitados para el comercio (52). Los pocos avances que el diplomático pudo conseguir, se perdieron en abril de 1842 cuando tropas riograndenses ingresaron a territorio paraguayo, cometiendo actos de violencia contra los pobladores de la margen izquierda del río Paraná.</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invasión estuvo motivada al parecer por el deseo de recuperar una caballada, que emigrados brasileños habían reunido en las cercanías del campamento de San José. Se trataba de alrededor de seiscientos caballos adquiridos en Corrientes y el Paraguay por el brigadier José María Gama y el teniente coronel José Antonio Martins, en cumplimiento de instrucciones del ejército imperial. Los oficiales debieron refugiarse en el campamento paraguayo debido a la imposibilidad de regresar a sus filas(53).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gobierno de Corrientes, cuyo territorio atravesaron las tropas para llegar al Paraguay, requirió inmediatas explicaciones al Ministro Plenipotenciario de Río Grande. Su respuesta, en la que aseguraba desconocer los hechos, fue remitida de inmediato a los cónsules, con la explicación de que por las atenciones de la guerra se había descuidado el Paso de Santo Tomé, y la promesa de que se adoptarían las disposiciones necesarias para 'evitar en lo sucesivo nuevas tropelías'.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respuesta del diplomático riograndense no satisfizo al gobierno paraguayo. Al devolver el documento al gobernador correntino, López y Alonzo negaron categóricamente que el brigadier Gama y el teniente coronel Martins estuvieran comprando caballos y capitaneando militares imperiales en el Paraguay y reafirmaron su voluntad de mantener 'una perfecta neutralidad sobre la disidencia de los partidos que se agitan en el territorio Río Grandense' (54). De este modo, quedaron definitivamente interrumpidas las gestiones de la República de Río Grande para alcanzar un entendimiento con el Paraguay.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su parte, también el Imperio del Brasil realizó varios esfuerzos infructuosos para establecer relaciones con los nuevos gobernantes paraguayos. En marzo de 1841, el capitán Augusto Leverger se presentó en Fuerte Olimpo como conductor de comunicaciones oficiales del Presidente de Matto Grosso. El comandante del fuerte le explicó que, a pesar de los cambios políticos, las disposiciones del difunto dictador que prohibían toda vinculación con los brasileños no habían sido alteradas (55). La respuesta del comandante mereció la aprobación de los cónsules, quienes al iniciar su gobierno, confirmaron: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orden general de que ese no es punto de navegación ni de embajadas acerca de este Gobierno, y de que los soldados destacados (en Fuerte Olimpo) no se pueden ocupar en remisión de pliegos ni correspondencias, porque si se llega a admitir una vez han de insistir en ello por lo mucho que les importa el pretexto de correspondencia por esa vía ' (56).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Antes de conocer el resultado del viaje de Leverger, y también en marzo de 1841, el Imperio designó a Manuel de Cerqueira Lima como Encargado de Negocios en el Paraguay. La misión no pudo concretarse debido a que Cerqueira Lima, a quien se encomendó poco antes la representación diplomática en el Perú, ya había partido de Buenos Aires cuando llegó a esa ciudad la notificación de su nombramiento y cambio de destino (57).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junio de 1841, el Brasil confió al capitán Augusto Leverger los cargos de Cónsul General y Encargado de Negocios ad interim en Asunción. En tal condición, el capitán realizó un nuevo viaje a Olimpo, en abril </w:t>
            </w:r>
            <w:r w:rsidRPr="00EB097F">
              <w:rPr>
                <w:rFonts w:ascii="Arial" w:eastAsia="Times New Roman" w:hAnsi="Arial" w:cs="Arial"/>
                <w:color w:val="003399"/>
                <w:sz w:val="17"/>
                <w:szCs w:val="17"/>
                <w:lang w:eastAsia="es-AR"/>
              </w:rPr>
              <w:lastRenderedPageBreak/>
              <w:t>de 1842. Una vez más el comandante paraguayo se negó a recibir sus oficios, diciéndole que el gobierno imperial 'ya sabía que el fuerte Olimpo no era camino hacia Asunción' (58).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Antes de verificarse la expedición de Leverger, en marzo de 1842, Antonio José Lisboa fue nombrado Encargado de Negocios del Brasil en el Paraguay, con instrucciones de que se dirigiera a su destino por el río Paraná y en buque de guerra brasileño. Lisboa debía proponer al gobierno paraguayo la conclusión de tratados de navegación y comercio, y retirarse luego de obtenerlos, dejando a Leverger como Encargado de Negocios. Estaba facultado para reconocer explícitamente la independencia del Paraguay, en caso de que se lo solicitara (59).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legación del Brasil en Buenos Aires inició las gestiones a fin de obtener el permiso del gobierno porteño para que el buque que conduciría a Lisboa hasta Asunción pudiese navegar el Paraná. El gobernador Rosas mandó responder al Ministro Plenipotenciario del Imperio: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'que esta cuestión de la admisión de navíos extranjeros en los ríos interiores es la más vital para la República; que es muy delicada; y que, aun cuando por consideración al Brasil franquease el Paraná a nuestros navíos (los del Imperio), no podía dar este paso sin abrir con tal ejemplo la puerta a los franceses e ingleses.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que, si en regla general no podía consentir en la entrada de cualquier navío brasileño en el Paraná, ciertamente no sería en este caso especial que él debiera permitirla, por cuanto si lo hiciese ahora, no sólo dejando, sino aún favoreciendo la partida de un agente diplomático extranjero para aquel país, reconocería ipso facto la independencia del Paraguay'.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representante brasileño informó a su gobierno que Felipe Arana, Ministro de Relaciones Exteriores de Buenos Aires, le había expresado en forma confidencial que el general Rosas pretendía incorporar la 'Provincia del Paraguay' a la Confederación Argentina, de la que decía formaba parte de derecho (60). El imperio, atento a consideraciones políticas, prefirió no convertir el viaje de Lisboa en un tema que pudiera generar conflictos con el gobierno porteño.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ello no puso término a las preocupaciones del gobernador Rosas por mantener incomunicado al Paraguay. En mayo de 1842, la legación británica solicitó igualmente permiso para que George John Robert Gordon, secretario de la misión diplomática de Gran Bretaña en Río de Janeiro, pudiera navegar el Paraná hasta Asunción. Aunque Gordon se presentaba como un viajero particular, estaba comisionado por su gobierno para reunir informaciones acerca de los cambios producidos en la República después de la muerte de Francia (61).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Tampoco se permitió el tránsito del agente inglés. Sin embargo, en lugar de desistir, Gordon se trasladó a Montevideo para organizar allí su viaje. Y con los auxilios proporcionados por el gobierno del Uruguay, pudo llegar al campamento paraguayo de San José a fines de setiembre de 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9. La Misión Gordon en el Paraguay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comisionado británico escribió desde Itapúa a los cónsules, informándoles que su gobierno le había encomendado una 'misión particular' en el Paraguay, y solicitando la autorización correspondiente para proseguir su travesía hasta la capital (62).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llegada del agente inglés no tomó desprevenidos a los gobernantes paraguayos. En julio anterior, el general Ferré les había trasmitido algunas noticias a su respecto, recogidas por el Encargado de Negocios de Corrientes en el Uruguay. Según las mismas, Gordon, quien traía 'una misión especial cerca de la República', no consiguió en Buenos Aires permiso para dirigirse por agua o por tierra a su destino, porque el gobernador Rosas consideraba que 'el Paraguay es una Provincia de la Confederación y que él solo tiene el derecho de representarla cerca de las Naciones Extranjeras'. Por ese motivo, el diplomático tuvo que preparar su viaje en Montevideo, con el apoyo del gobierno oriental.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Sorprendidos con estas novedades, López y Alonzo contestaron al gobernador Ferré:</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'Era menester toda la credibilidad que se merece el alto carácter de quien se ha servido transmitirnos la noticia expresada para que pueda ser tomada en consideración. En efecto es bien raro que el gobierno de Buenos Aires quiera abrogarse la representación de un estado soberano que jamás le ha conferido el más mínimo poder. Y en cuanto a la pretensa incorporación de esta República a la que Rosas llama Confederación no será un resultado de su vana aspiración'(63).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tales circunstancias, era natural que los cónsules tuviesen un especial interés en facilitar el tránsito de Gordon a la capital, incluso sin requerir previamente que esclareciera los propósitos de su 'misión particular'. El 26 de setiembre, el agente inglés ya contaba con el permiso para trasladarse hasta </w:t>
            </w:r>
            <w:r w:rsidRPr="00EB097F">
              <w:rPr>
                <w:rFonts w:ascii="Arial" w:eastAsia="Times New Roman" w:hAnsi="Arial" w:cs="Arial"/>
                <w:color w:val="003399"/>
                <w:sz w:val="17"/>
                <w:szCs w:val="17"/>
                <w:lang w:eastAsia="es-AR"/>
              </w:rPr>
              <w:lastRenderedPageBreak/>
              <w:t>Asunción, a la que llegó el 3 de octubre siguiente. El mismo día fue recibido en audiencia por el cónsul López (64).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cordialidad con que se inició esta primera entrevista, fue abruptamente interrumpida cuando el diplomático confesó que su viaje era extraoficial y que tenía por finalidad únicamente adquirir informaciones sobre el Paraguay. Refiere Gordon que, al saberlo, López 'enrojeció' y le dijo que en ese caso no aceptaría 'entrar en comunicación oficial' con él, añadiendo que se estaba dando un trato 'muy bajo' a la República.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Gordon le explicó que el Paraguay era para Gran Bretaña, como para el resto del mundo, 'una nación completamente nueva', por cuyo motivo no podía exponerse a enviar un 'Agente regularmente acreditado sin estar segura de que sería bien recibido'. Pero ni estas ni otras razones modificaron la decisión del cónsul paraguayo de no entablar 'comunicaciones oficiales' con el diplomático inglés.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todos modos, López aprovechó la oportunidad para indagar si era cierto que el gobierno de Buenos Aires se había negado a permitir su viaje por el Paraná. Gordon respondió que la noticia era 'exacta', y a pedido del mandatario paraguayo mencionó las razones en que se fundó la negativa: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Gobernador de Buenos Aires habrá determinado a negar al infrascrito permiso para dirigirse por el Paraná al Paraguay, porque al ministro brasilero se había negado igual súplica, y que el conceder al ministro británico lo que había sido negado a ese, le daría justa causa de queja:-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'Que, si el infrascrito recibiese la licencia en cuestión, cualquier otro Gobierno tendría derecho al mismo favor.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'Que el Gobierno del Paraguay estaba de un carácter inestable:-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'Que existía en este país un partido que quería formar una Provincia y parte de la confederación argentina:-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'Que el Gobierno de Buenos Aires no había reconocido este país como estado independiente; y que por tanto no permitiría agentes públicos o particulares a pasar por el territorio de la confederación para visitarlo (?) mientras que el Paraguay no se habrá pronunciado por entero en favor de un cualquier modo de Gobierno, sea en la forma de un Estado independiente, sea como una Provincia haciendo parte integrante de la confederación' (65).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 día siguiente, el cónsul López consultó a Gordon si podía, a su requerimiento, 'ponerle por escrito las razones dadas por el General Rosas para rehusarme el permiso de seguir hasta Asunción por el Paraná'. El diplomático accedió a la solicitud, considerando que de esa manera podría entrar en 'comunicación oficial' con los cónsules y que el ministro británico en Buenos Aires le había permitido copiar el oficio en que comunicó dicha resolución, 'con el expreso propósito de enseñárselo al Gobierno del Paraguay'.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esta entrevista, López se manifestó 'profundamente ofendido por las pretensiones del General Rosas', desmintiendo en forma categórica que en la República existiera 'un partido favorable a la unión con la Confederación Argentina'. Dijo también que 'él debía prepararse, ante esa declaración, para todos los extremos que pudieran surgir'(66).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Conforme lo acordado, los cónsules dirigieron al comisionado británico una nota pidiendo que les transmitiese 'las ideas políticas del Gobierno de Buenos Aires relativamente a esta República, y su actual Gobierno, según lo que S.S. haya concebido con motivo de (?) su solicitud ante el Gobierno Argentino' para viajar por el río Paraná. Al comentar la remisión de la nota, el cónsul López expresó a Gordon: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'Cuando usted conteste mi pedido (?), tal vez este yo habilitado a ofrecer (a Rosas) una dificultad más que resolver, probándole que el Paraguay está unido y que no existe en la República ningún partido favorable a la unión con la Confederación Argentina' (67).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probable que López ya hubiese resuelto en ese momento la convocatoria a un Congreso General de la República, para confirmar la voluntad popular de mantener la independencia del país. De acuerdo con la versión de Gordon, el gobernante paraguayo no abrigaba ilusiones en cuanto a que una declaración de ese tipo pudiera alterar la posición asumida por Rosas, y pretendía simplemente crearle 'una dificultad más que resolver'.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El 10 de octubre, el agente inglés respondió la consulta paraguaya. Aclaraba que por haber viajado sin carácter público, no le fue posible conocer directamente y de manera oficial las causas que fundaron la actitud del gobierno porteño. Recordaba luego los motivos que había enumerado en la primera reunión con López, añadiendo que desconocía 'todo designio de parte del Gobierno de Buenos Aires, de obligar al </w:t>
            </w:r>
            <w:r w:rsidRPr="00EB097F">
              <w:rPr>
                <w:rFonts w:ascii="Arial" w:eastAsia="Times New Roman" w:hAnsi="Arial" w:cs="Arial"/>
                <w:color w:val="003399"/>
                <w:sz w:val="17"/>
                <w:szCs w:val="17"/>
                <w:lang w:eastAsia="es-AR"/>
              </w:rPr>
              <w:lastRenderedPageBreak/>
              <w:t>Paraguay por las armas, a unirse a la Confederación' (68).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Gordon también expuso por escrito los propósitos de su misión. En nota de fecha 5 de octubre informó al gobierno paraguayo que se le había encomendado 'adquirir noticias exactas acerca del estado político y los recursos mercantiles (del Paraguay) y de averiguar la disposición del Gobierno de la República con respecto al establecimiento de Relaciones amistosas con el de Gran Bretaña'.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respuesta, los cónsules le reiteraron lo que habían expresado a principios de año en el oficio remitido al Vizconde Palmerston, pero agregando que todo acuerdo al que se arribara debía ir precedido del 'reconocimiento de la independencia de esta República por parte de los Gobiernos contratantes, o de sus enviados o agentes, sin cuyo requisito a nada se podrá arribar definitivamente' (69).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Después de estos esclarecimientos, el cónsul López trató de apresurar la partida de Gordon, indicándole en sucesivas entrevistas del 12 y 14 de octubre que ya había dado por finalizada su misión y que esperaba que su regreso no demorase demasiado. A esto se sumó un desagradable incidente, suscitado por la aplicación de vacunas, que el agente inglés realizó sin autorización del gobierno. Soares de Souza entiende que la importancia que adquirió el hecho se debió precisamente al deseo de liberarse del diplomático lo antes posible, y que las vacunas fueron un pretexto para poner fin a su visita, en la que sólo pretendía reunir datos para ver si el gobierno y pueblo paraguayos eran 'dignos (?) de una representación diplomática británica' (70). En los hechos, el incidente aceleró el retorno del enviado inglés, sin modificar la cordialidad con que se lo había recibido (71).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10. El Congreso Extraordinario de 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informaciones proporcionadas por Gordon, y las que el gobierno consular había ido acumulando desde el viaje del comerciante Hughes, no dejaban dudas acerca de la posición que había asumido el gobernador de Buenos Aires con respecto a la emancipación paraguaya. Según el agente británico, no sólo se reclamaba la incorporación de la República a la Confederación Argentina, sino que además se aseguraba que existía un importante partido favorable a la unión, y que aún no se había dictado un pronunciamiento definitivo de independencia.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Convenía por tanto declarar en forma expresa que el Paraguay se había constituido en Estado soberano, y demostrar al mismo tiempo que esa determinación contaba con un mayoritario respaldo popular. Para hacerlo, los cónsules convocaron el 24 de octubre a un Congreso General. El decreto de convocatoria indicaba que debían resolverse 'varios asuntos importantes al bien y felicidad de la República' y que 'circunstancias de consideración en el orden político', exigían una consulta urgente de la 'Soberanía Nacional'. El Congreso, convocado con carácter extraordinario, se compondría de cuatrocientos diputados 'propietarios y de capacidad, nombrados en proporción al número de Departamentos de la República' e iniciaría sus deliberaciones el 25 de noviembre siguiente (72).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mismo día de la convocatoria, el cónsul López participó a Gordon esta novedad y le adelantó que: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'después de la reunión del Congreso se enviaría un barco a Buenos Aires; que entonces el Gobierno del Paraguay ?en caso de que este barco sufriese algún insulto o se interpusiese algún obstáculo (?) por cualquiera de las Provincias ribereñas? estaría habilitado a responder a un acto semejante (?) apoyado en la plena autoridad de la nación, y probar así, tanto a las Potencias extranjeras como a Buenos Aires, que el Paraguay es de hecho independiente y no deseaba unirse a la Confederación Argentina' (73).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su informe el agente inglés anota además datos muy interesantes sobre la nominación de los diputados y las atribuciones de la asamblea, que habrá recogido previamente a su partida de Asunción, en fecha 27 de octubre, casi un mes antes de la realización del Congreso. Consignaba que la capital no elegía diputados, porque se decía que 'sus habitantes se oponen a la libertad' (74) y que en las localidades del interior aunque los diputados eran electos 'por aclamación', en realidad eran 'nombrados por las Autoridades del Gobierno en cada distrito instruidos cuidadosamente para este efecto'.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Señalaba igualmente que los representantes eran 'por lo general los más ignorantes de los ineducados paraguayos' y que el Congreso no podía ser calificado como 'una Asamblea deliberativa', pues el gobierno aseguraba 'la más plena sumisión (?) con la presencia de un imponente número de Tropas en la Capital, aun cuando la constitución de las Asambleas y el sistema de elección no lograren impedir la entrada de algunos pocos espíritus independientes en su seno'. Por todo esto, Gordon pensaba que los cónsules no encontrarían dificultad alguna para que los congresales aprobaran todas sus propuestas (75).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Sea de esto lo que fuere, el Congreso estaba integrado con representantes de toda la República, elegidos en asambleas que habrán sido difíciles de controlar enteramente, tanto por el poco tiempo que existía entre convocatoria e instalación, como por el elevado número de cargos a cubrir. En efecto, debían elegirse cuatrocientos diputados, cien menos que en 1841, pero con el requisito adicional de ser </w:t>
            </w:r>
            <w:r w:rsidRPr="00EB097F">
              <w:rPr>
                <w:rFonts w:ascii="Arial" w:eastAsia="Times New Roman" w:hAnsi="Arial" w:cs="Arial"/>
                <w:color w:val="003399"/>
                <w:sz w:val="17"/>
                <w:szCs w:val="17"/>
                <w:lang w:eastAsia="es-AR"/>
              </w:rPr>
              <w:lastRenderedPageBreak/>
              <w:t>propietarios.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Congreso se instaló, conforme estaba previsto, el 25 de noviembre. En su mensaje a los diputados los cónsules explicaron los motivos de su convocación, señalando: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'Treinta y un años llevamos de nuestra existencia política, desde que por nuestros esfuerzos nos separamos de la Metrópoli española, y de todo otro poder extranjero. Este sentimiento uniforme en toda la República, jamás ha sido contradicho por acto alguno que pudiera desvirtuarlo (?). Es tiempo que entre los fastos de nuestra libertad, se registre un monumento eterno en que declaréis explícitamente lo que tantas veces ha manifestado la voluntad general de la Reública' (76).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Congreso acogió la propuesta sin discusiones y el mismo día aprobó el Acta de Independencia, en la que se estableció que 'la República del Paraguay en el de la Plata es para siempre de hecho y derecho una nación libre e independiente de todo poder extraño' (77). Con esta declaración se ratificaba en forma unánime la definitiva e irrevocable emancipación política del Paraguay, permitiendo que el gobierno consular diera una nueva orientación a las relaciones exteriores del país. Los cónsules debían comunicar el importante suceso a los demás Estados, y requerir de ellos el reconocimiento de la independencia paraguaya, cuya definitiva consumación había sido reafirmada por la representación popular.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eso, como acertadamente señala Rafael Eladio Velázquez, 'cualesquiera hayan sido las limitaciones de su elección y de su efectiva autonomía para manifestarse, esos 400 diputados propietarios, representan en ese momento y en lo esencial las aspiraciones colectivas'</w:t>
            </w:r>
            <w:r w:rsidRPr="00EB097F">
              <w:rPr>
                <w:rFonts w:ascii="Arial" w:eastAsia="Times New Roman" w:hAnsi="Arial" w:cs="Arial"/>
                <w:color w:val="003399"/>
                <w:sz w:val="17"/>
                <w:szCs w:val="17"/>
                <w:lang w:eastAsia="es-AR"/>
              </w:rPr>
              <w:br/>
              <w:t>(78).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11. Síntesis Final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gobierno consular de López y Alonzo inició en 1841 la delicada tarea de reinsertar el Paraguay a la vida internacional, luego de un prolongado aislamiento de más de veinte años. Los Estados del Plata soportaban entonces graves conflictos, como la guerra que sostenía Corrientes contra el gobernador Rosas de Buenos Aires o la que emprendió el Imperio del Brasil para sofocar el movimiento separatista de Río Grande del Sur.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gobernantes paraguayos entendieron que, en tales condiciones, los cambios en las relaciones exteriores debían efectuarse de manera prudente y progresiva. En julio de 1841, los cónsules concluyeron acuerdos con la vecina provincia de Corrientes, destinados a permitir un incipiente intercambio comercial y a definir provisoriamente los límites del Paraguay en las Misiones Orientales. El gobierno correntino hizo saber a López y Alonzo que el gobernador de Buenos Aires, quien además tenía a su cargo las relaciones exteriores de la Confederación Argentina, no aceptaba la emancipación paraguaya e imponía permanentes limitaciones a la navegación del Paraná.</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Varios datos y testimonios confirmaron las primeras noticias. Las comunicaciones de los enemigos de Rosas, la declaración del comerciante Hughes de haber sido obligado a navegar con bandera argentina para llegar hasta el Paraguay, una reveladora nota original del gobernador porteño, fueron mostrando a los gobernantes paraguayos las verdaderas intenciones de la Confederación Argentina respecto de la República.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consecuencia, los cónsules limitaron sus contactos regulares con el exterior a los que habían iniciado con Corrientes, interesándose por la suerte de esta provincia cuando su territorio fue invadido por tropas rosistas, ya que su integridad aseguraba el alejamiento de un peligro que no dejaron de percibir. Cuando las acciones militares se desplazaron a Entre Ríos, su preocupación por el desarrollo de las mismas disminuyó, pero mantuvieron la decisión de no concluir acuerdo alguno con otros gobiernos.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octubre de 1842, los cónsules conocieron nuevos detalles acerca de la oposición del gobernador Rosas a admitir la independencia del Paraguay. Un agente británico, a más de confirmarles tal postura, les informó que en Buenos Aires se decía que los paraguayos estaban decididos por la emancipación, que su gobierno era inestable y que un partido importante sostenía la necesidad de confederarse.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conocimiento de dichas novedades, López y Alonzo resolvieron demostrar que no existían discrepancias en el pueblo paraguayo cuando se trataba de sostener su independencia. Para ello convocaron un Congreso General Extraordinario de cuatrocientos diputados, que el 25 de noviembre de 1842 declaró solemnemente la independencia de la República del Paraguay.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declaración ratificaba un hecho definitivamente consumado, y permitía a los cónsules recabar el reconocimiento del Paraguay como Estado soberano. Aunque el gobierno paraguayo no abrigaba muchas esperanzas en su eficacia para vencer la resistencia argentina, confiaba en que ella contribuiría a definir las posiciones.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A fines de 1842, un enviado especial viajó a Buenos Aires para comunicar al gobernador Rosas lo resuelto por el Congreso y solicitar el reconocimiento de la emancipación paraguaya. Sus esfuerzos no tuvieron éxito y sólo en 1852, después de diez años de discusiones y enfrentamiento, la Confederación Argentina admitió la independencia del Paraguay.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V. Ricardo Scavone Yegros, Los tratados de 1841 entre el Paraguay y Corrientes, en Estudios Paraguayos, Vol. XVIII, Nº 1-2, 1990-1994.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El Nacional Correntino, Corrientes, 16/05/1841. La negativa del gobernador porteño a reconocer la emancipación paraguaya era bien conocida en las provincias del litoral. El mismo Rosas escribió en 1836 al gobernador López de Santa Fe que 'la Provincia del Paraguay, aunque está de hecho separada de nosotros por la influencia y caprichos de (el dictador) Francia, pertenece de derecho a la Confederación (?) y nosotros debemos por nuestra parte en cuanto podamos conducirnos con ella bajo de ese concepto'. Julio Irazusta, Vida política de Juan Manuel de Rosas, IV (Buenos Aires, 1950), pág. 118.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Francisco Centeno, Epistolario de los generales Ferré y Paz, en Revista de Derecho, Historia y Letras, Vol. 74 (Buenos Aires, 1925). Paz a Manuel Ferré, Villanueva, 10/06/1841 y Archivo del General de la Nación Argentina (A.G.N.A.), Archivo del General Paz, VII-1-7-4. Manuel Ferré a Paz, Corrientes, 7/07/1841. En éstas como en las demás transcripciones se extienden las abreviaturas y se actualiza la ortografía.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R. Antonio Ramos, Juan Andrés Gelly, (Buenos Aires-Asunción, 1972), págs. 199/201. Gelly a Ferré, Montevideo, 16/07/1841.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Archivo Nacional de Asunción (A.N.A.), Colección Río Branco (C.R.B.), I-29, 24, 3 Nº 1 (Cat. 273). Ferré a los Cónsules, Corrientes, 2/08/1841 y Nº 4. Cónsules a Ferré, Asunción, 10/08/1841. También el jefe de las fuerzas provinciales, general José María Paz, hizo llegar al gobernador Ferré su parecer en relación al mismo asunto. V.Centeno, op. cit., pág. 379. Paz a Ferré, Villanueva, 15/08/1841.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 A.N.A., C.R.B., I29, 24, 3 Nº 1 (Cat. 273). Ferré a los Cónsules, Corrientes, 19/08/1841.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 Sobre los antecedentes y preparativos del viaje de Hughes: Thomas Whigham, El comercio anglo-paraguayo y el Dr. Francia, en Anuario (del) Instituto de Investigaciones Históricas Dr. José Gaspar Rodríguez de Francia, Vol. 7 (Asunción, 1985), págs. 69/70; José Antonio Soares de Souza, A Missao Bellegarde ao Paraguai (1849-1852), I (Río de Janeiro, 1966), págs. 77/79 y Arturo Nagy y Francisco Pérez Maricevich, Paraguay - Imagen romántica (Asunción, 1969), pág. 128. En este último se reproducen fragmentos del informe elevado por Hughes a su gobierno (Montevideo, 18/03/1842), que se conserva en el Public Record Office, de Londres.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(8) A.N.A., C.R.B., I29, 24, 5 (Cat. 277). Hughes a los Cónsules, Bergantín La Palma 'frente a la boca del Río Paraguay', 20/09/1841.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(9) Hacía referencia sin duda a la nota dirigida en 1825 al cónsul Woodbine Parish, que está transcripta en R. Antonio Ramos, La independencia del Paraguay y el Imperio del Brasil (Río de Janeiro, 1976), págs. 336/337.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(10) A.N.A., C.R.B., I-29, 23, 26 (Cat. 270). Palmerston al dictador Francia, Londres, 31/10/1840. La nota está íntegramente reproducida en Ramos, La independencia?, cit. págs. 338/339.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(11) A.N.A., C.R.B., I29, 24, 5 (Cat. 278). Cónsules a Hughes, Asunción, 22/09/1841 y A.N.A., Sección Nueva Encuadernación (N.E.), Vol. 1342. Cónsules al Comandante de Pilar, Asunción, 22/09/1841.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(12) A.N.A., C.R.B., I29, 24, 5 (Cat. 279). Hughes a los Cónsules, Paso de la Patria, 23/09/1841.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(13) Ibid., I29, 24, 3 Nº 2 (Cat. 273). Ferré a los Cónsules, Corrientes, 25/09/1841.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(14) El Paraguayo Independiente, Asunción, 4/03/1848. Rosas a Echagüe, Buenos Aires, 10/06/1841.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(15) A.N.A., C.R.B., I29, 24, 3 Nº 4 (Cat. 273). Cónsules a Ferré, Asunción, 29/09/1841.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(16) Ibid., I29, 24, 5 (Cat. 286). Cónsules al Comandante de Pilar (Asunción, 5/10/1841) y A.N.A., N.E., 2632. Comandante de Pilar a los Cónsules, Pilar, 7/10/1841.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(17) A.N.A., N.E.,1342. Cónsules al Comandante de Pilar, Asunción 10/10/1841.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(18) Ibid., 2632. Comandante de Pilar a los Cónsules, Pilar, 14/10/1841.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(19) Ibid., 1342. Cónsules al Comandante de Pilar, Asunción, 15/10/1841.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(20) Nagy y Pérez Maricevich, op. cit., pág. 128.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(21) A.N.A., C.R.B., I29, 24, 5 (Cat. 281). Hughes a los Cónsules, Bergantín La Palma en Pilar, 25/10/1841.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(22) Ibid., (Cat. 287), Cónsules a Hughes, Asunción, 10/01/1842 y A.N.A., Sección Histórica (S.H.).,394. Comandante de Pilar a los Cónsules, Pilar, 30/01/1842.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(23) A.N.A., C.R.B., I29, 23, 26 (Cat. 270). Cónsules al Secretario Británico de Relaciones Exteriores, Asunción, 16/01/1842.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(24) V. nota 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(25) Soares de Souza, op. cit., págs. 82/83.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(26) A.N.A., C.R.B., I29, 24, 3 Nº 4 (Cat. 273). Cónsules a Ferré, Asunción, 29/09/1841.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(27) A.N.A., C.R.B., I29, 24, 3 Nº 2 (Cat. 273). Ferré a los Cónsules, Corrientes, 30/09 y 5/10/1841.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(28) Ibid., I29, 24, 3 Nº 4 (Cat. 273). Cónsules a Ferré, Asunción, 5/10/1841.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(29) Ibid., I29, 24, 3 Nº 2 (Cat. 273). Ferré a los Cónsules, Corrientes, 8/10/1841.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(30) Pedro Ferré, Memoria del brigadier general? (Buenos Aires, 1921). Cónsules al Gobierno de Corrientes, Asunción, 11/10/1841.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(31) A.N.A., C.R.B., I29, 24, 3 Nº 2 (Cat. 273). Ferré a los Cónsules, Costa de Santa Lucía, 15/10/1841.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(32) Ibid. Ferré a los Cónsules, Cuartel General del Ejército de Reserva en la costa del río Corrientes, 31/10/1841. El gobernador se refiere sólo a 'síntomas' de un plan, por lo que no deja de ser posible que sus datos fueran inconexos o producidos por la exageración de hechos ciertos. Era verdad por ejemplo, que Juan Andrés Gelly, venía anunciando desde abril de 1841, su propósito de regresar al Paraguay y una vez en él tratar de impedir que su gobierno sea arrastrado por Rosas o por Corrientes. Cfr. Ramos, Juan Andrés Gelly, cit., págs. 221/222.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(33) A.N.A., C.R.B., I29, 24, 3 Nº 4 (Cat. 273). Cónsules a Ferré, Asunción, 8/11/1841.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(34) Ibid., I-29, 24, 3 Nº 2 (Cat. 273). Ferré a los Cónsules, Villa de Saladas, 4/11/1841 y Nº 4. Cónsules a Ferré, Asunción, 8/11/1841. El Comandante de Villarrica tenía órdenes de permitir que los correntinos viviesen 'Libres y sueltos (pero) sin (?) retirarse de la villa', y de exigirles que se 'porten bien' y se presenten diariamente a la comandancia. A.N.A., S.H., 247 (1). Cónsules al Comandante de Villarrica, Asunción, 15/11/1841.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(35) Los correntinos llegaron a Villarrica a fines de noviembre de 1841. Después de la victoria de Caaguazú se les permitió escribir a sus familias y se les exoneró de 'la pensión' de presentarse todos los días a la comandancia. A.N.A., N.E., 1325. Cónsules al Comandante de Villarrica, Asunción, 4/12/1841. En setiembre de 1842, por solicitud del gobernador Ferré, volvieron a su provincia Barganza, Alfonzo y Argüello. A.N.A., C.R.B., I-29, 24, 3 Nº 5 (Cat. 273). Ferré a los Cónsules, Corrientes, 26/08/1842 y A.N.A., S.H., 253 (9). Cónsules al Comandante de Villarrica, Asunción, 10/09/1842. Luego de los cambios políticos de diciembre de 1842, regresaron los cuatro restantes. A.N.A., N.E., 1321, Comandante de Villarrica a los Cónsules, Villarrica, 27/12/1842.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(36) A.N.A., C.R.B., I29, 24, 3 Nº 2 (Cat. 273). Ferré a los Cónsules, Corrientes, 17/11/1841.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(37) A.N.A., S.H., 386. Comandante del Campamento de San José a los Cónsules, San José, 11/11/1841. Gauna refirió al Comandante que en su provincia había ejercido los cargos de Escribano de Gobierno y Secretario del Congreso General, en el que él y Zamudio se negaron a prestar su acuerdo para la elección de Ferré como gobernador. Le refirió que una vez en el poder, éste comenzó a perseguirlos, ordenando que permanecieran en su estancia de San Miguel, de la que huyeron al enterarse que el comandante de la tranquera tenía orden de arrestarlos.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(38) A.N.A., N.E., 1321. Resolución de los Cónsules. Asunción, 23/11/1841.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(39) A.N.A., C.R.B., I29, 24, 3 Nº 2 (Cat. 273). Ferré a los Cónsules, Corrientes, 5/12/1841.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(40) A.N.A., S.H. ,247 (1). Cónsules al comandante de Itapúa, Asunción, 15/12/1841 y A.N.A., N.E., 1321. Resolución de los Cónsules, Asunción, 15/12/1841. Los asilados retornaron a Corrientes tras los sucesos de diciembre de 1842. A.N.A., S.H., 378 (II). Comandante de Itapúa a los Cónsules, Itapúa, 28 y 29/12/1842.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(41) Ibid., I29, 24, 3 Nº 2 (Cat. 273). Ferré a los Cónsules, Corrientes, 29/11/1841 y Nº 4. Cónsules a Ferré, Asunción, 2/12/1841.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(42) Ibid., I29, 24, 3 Nº 2 (Cat. 273). Ferré a los Cónsules, Corrientes, 2 y 9/12/1841.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(43) Ibid., I29, 24, 3 Nº 5 (Cat. 273). Ferré a los Cónsules, Paraná, 24/02/1842.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(44) Ibid., I29, 24, 3 Nº 6 (Cat. 273). Cónsules a Ferré, Asunción, 16/03/1842.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(45) Ibid., I29, 24, 3 Nº 5 (Cat. 273). Ferré a los Cónsules, Corrientes, 5/04/1842.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(46) Registro Oficial de la Provincia de Corrientes, Tomo IV (1838-1841) (Corrientes, 1929). Ley del 23 /11/1841.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(47) A.N.A., C.R.B., I29, 24, 3 Nº 5 (Cat. 273). Ferré a los Cónsules, Corrientes, 1º/02/1842 y Nº 6. Cónsules a Ferré, Asunción, 14/02/1842.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(48) Ibid., I-29, 24, 3 Nº 6 (Cat. 273). Cónsules a Ferré, Asunción, 20/04/1842 y Registro Oficial de la Provincia de Corrientes, Tomo V (1842-1846) (Corrientes, 1936), págs. 48/49. Decreto del 26/04/1842.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(49) Ibid., I29, 24, 3 Nº 5 (Cat. 273). Ferré a los Cónsules, Corrientes, 13/08/1842 y Nº 6. Cónsules a Ferré, Asunción, 29/08/1842.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(50) A.N.A., S.H., 249 (13). Francisco A. Vidal, Ministro de Relaciones Exteriores del Uruguay a los Cónsules, Montevideo, 2/10/1841 y Archivo General de la Provincia de Corrientes (A.G.P.C.), Fondo Mantilla, 18. Juan Andrés Gelly a Gregorio Valdés, Montevideo, 24/02/1842.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(51) Carlos Antonio López, Mensajes (Asunción, 1987). Mensaje del Superior Gobierno al Congreso Nacional, Asunción, 25/11/1842, pág. 62.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(52) Ibid., pág. 63.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(53) Soares de Souza, op. cit., págs. 115/116.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(54) A.N.A., C.R.B., I29, 24, 3 Nº 5 (Cat. 273). Ferré a los Cónsules, Corrientes, 4 y 14/05/1842 y Nº 6. Cónsules a Ferré, Asunción, 19/05/1842.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(55) Soares de Souza, op. cit., Cap. II, Ap. 2 (Segunda viagem de</w:t>
            </w:r>
            <w:r w:rsidRPr="00EB097F">
              <w:rPr>
                <w:rFonts w:ascii="Arial" w:eastAsia="Times New Roman" w:hAnsi="Arial" w:cs="Arial"/>
                <w:color w:val="003399"/>
                <w:sz w:val="17"/>
                <w:szCs w:val="17"/>
                <w:lang w:eastAsia="es-AR"/>
              </w:rPr>
              <w:br/>
              <w:t>Leverger, 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(56) A.N.A., S.H., 247 (1). Cónsules al Comandante de Fuerte Olimpo, Asunción, 13/05/1841.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(57) Soares de Souza, op. cit., Cap. II, Ap. 3 (Missao de Manuel de Cerqueira Lima) y 4 (Navegaçao proibida).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(58) Ibid., Cap. II, Ap. 5 (Leverger, cónsul).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(59) Ibid., Cap. III, Aps. 2 (Outra missao brasileira) y 3 (Moutinho en Buenos Aires).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(60) Ibid., págs. 91/92. Nota del 21/04/1842.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(61) Tanto Soares de Souza (Op. cit. Cap. III, Aps. 4, 5, y 6), como Ramos (La independencia? cit., Cap. VIII) se han ocupado de la misión de Gordon, con suficiencia y profundidad. El último publicó además el Informe sobre el Paraguay del agente inglés George J.R. Gordon - 1843, en Historia Paraguaya, 19 (Asunción, 1982). Por dicha razón sólo se hará referencia a los aspectos del viaje que estén directamente relacionados con el tema de este artículo.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(62) Informe? cit., págs. 32/33 y A.N.A., C.R.B., I 29, 24, 4 (Cat. 301). Gordon a los Cónsules, Itapúa, 20/09/1842.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(63) A.N.A., C.R.B., I29, 24, 3 Nº 5 (Cat. 273). Ferré a los Cónsules, Corrientes, 23/07/1842 y Nº 6. Cónsules a Ferré, Asunción, 20/08/1842.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(64) Informe? cit., págs. 33/35.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(65) Ibid., págs. 35/37 y A.N.A., C.R.B., I-29, 24, 4 (Cat. 305). Gordon a los Cónsules, Asunción, 10/10/1842.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(66) Informe ? cit., págs. 37/38.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(67) El Paraguayo Independiente, Asunción, 9/02/1850. Cónsules a Gordon, Asunción, 10/10/1842 e Informe? cit., pág. 40.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(68) Doc. cit. nota 65.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(69) A.N.A., C.R.B., I29, 24, 4 (Cat. 303). Gordon a los Cónsules, Asunción, 5/10/1842 y (Cat. 304) Cónsules a Gordon, Asunción, 7/10/1842. V. también Ramos, La Independencia? cit., pág, 175.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(70) Informe? cit., págs. 43/47 y Soares de Souza, op. cit., Cap. III, Ap. 6 (Gordon e a vacina).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(71) Informe?cit., págs. 52/53.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(72) República del Paraguay, Actas de las sesiones de los Congresos de la República (Asunción, 1908), pág. 35. Decreto del 24/10/1842.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(73) Informe?cit., págs. 53/54.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(74) Ibid., pág. 47.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(75) Ibid., págs. 55/56. Gordon se refiere asimismo a la intervención de Juan Bautista Rivarola en el Congreso anterior, anotando lo siguiente: 'todavía se recuerda la suerte de Rivarola, que se atrevió a hablar a favor de la Libertad en el Congreso de 1841, aludiendo a la necesidad de dictar una Constitución. Los pocos que estaban de acuerdo con su moción guardaron silencio o fueron acallados; a él no se le permitió firmar el Acta del Congreso, y, tras una severa reprimenda del Señor López, fue confinado por algunos años a cierto distrito del país'.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(76) López, Mensajes, cit. Mensaje del Congreso de 1842. Asunción, 25/11/1842, págs. 76/77.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(77) Actas, cit., págs. 40/43.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(78) Rafael Eladio Velázquez, Marco histórico de los sucesivos ordenamientos institucionales del Paraguay, en Historia Paraguaya, 28 (Asunción, 1991), pág. 106.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xml:space="preserve">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4" w:name="4"/>
            <w:bookmarkEnd w:id="4"/>
            <w:r w:rsidRPr="00EB097F">
              <w:rPr>
                <w:rFonts w:ascii="Arial" w:eastAsia="Times New Roman" w:hAnsi="Arial" w:cs="Arial"/>
                <w:b/>
                <w:bCs/>
                <w:i/>
                <w:iCs/>
                <w:color w:val="009933"/>
                <w:sz w:val="24"/>
                <w:szCs w:val="24"/>
                <w:lang w:eastAsia="es-AR"/>
              </w:rPr>
              <w:t>"AUTONOMÍA DE LA VOLUNTAD"</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Zenaida Escobar Balbuena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 Civil y Comercial</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29" w:anchor="arriba" w:history="1">
              <w:r w:rsidRPr="00EB097F">
                <w:rPr>
                  <w:rFonts w:ascii="Arial" w:eastAsia="Times New Roman" w:hAnsi="Arial" w:cs="Arial"/>
                  <w:i/>
                  <w:iCs/>
                  <w:color w:val="003399"/>
                  <w:sz w:val="17"/>
                  <w:szCs w:val="17"/>
                  <w:lang w:eastAsia="es-AR"/>
                </w:rPr>
                <w:t xml:space="preserve">volver arriba </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1. Breve marco conceptual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MANUEL OSSORIO, en el DICCIONARIO DE CIENCIAS JURIDICAS, POLITICAS Y SOCIALES, en la página 74, define la AUTONOMIA DE LA VOLUNTAD como la</w:t>
            </w:r>
            <w:r w:rsidRPr="00EB097F">
              <w:rPr>
                <w:rFonts w:ascii="Arial" w:eastAsia="Times New Roman" w:hAnsi="Arial" w:cs="Arial"/>
                <w:color w:val="003399"/>
                <w:sz w:val="17"/>
                <w:szCs w:val="17"/>
                <w:lang w:eastAsia="es-AR"/>
              </w:rPr>
              <w:br/>
              <w:t>'potestad que tienen los individuos para regular sus derechos y obligaciones mediante el ejercicio de un libre arbitrio, representada en convenciones o contratos que los obligue como la ley misma y siempre que lo pactado no sea contrario a la ley, a la moral, al orden público o a las buenas costumbres'.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JOSE A. RUFFINELLI expresa al respecto que la voluntad expresada libremente, sin vicios, es fuente de derechos para las partes que intervienen en un negocio jurídico. El mismo autor reconoce limitaciones como ser el orden público y las buenas costumbres. Son consideradas de orden público: la Constitución Nacional y todas las leyes que se refieren al Derecho Público del país.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materia civil serán consideradas como cuestiones de orden público aquellas que se refieran al estado y capacidad de las personas, también las del matrimonio (matrimonio, divorcio, filiación, sociedad conyugal, patria potestad); las sucesorias (la legítima, libertad de testar, etc.) y las del régimen de bienes (dominio, condominio, usufructo, etc.).</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Ya ROUSSEAU consideraba las convenciones como 'base de toda autoridad legítima entre los hombres'. Se ha encontrado en la voluntad presunta el fundamento de las diversas soluciones legales: el orden de la sucesión ab-intestato, la virtualidad de la oferta contractual, la confirmación, el reconocimiento tácito? Las sucesiones ab-intestato 'reposan sobre la</w:t>
            </w:r>
            <w:r w:rsidRPr="00EB097F">
              <w:rPr>
                <w:rFonts w:ascii="Arial" w:eastAsia="Times New Roman" w:hAnsi="Arial" w:cs="Arial"/>
                <w:color w:val="003399"/>
                <w:sz w:val="17"/>
                <w:szCs w:val="17"/>
                <w:lang w:eastAsia="es-AR"/>
              </w:rPr>
              <w:br/>
              <w:t>voluntad presunta del difunto, en cuanto sea más apropiada a la naturaleza de las relaciones de familia? La confirmación contiene virtualmente renuncia de la acción de nulidad? Resulta de un hecho que implica la confesión de la existencia del derecho del acreedor o del propietario (reconocimiento tácito)'.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ALTIERI y ROBERTO LOPEZ CABANA se refieren a la CRISIS DEL CONTRATO y explican que lo que a veces se denomina como crisis del contrato no es sino que una crisis de la autonomía de la voluntad? Tal crisis de la autonomía de la voluntad y no del contrato ?en realidad? concierne tanto a las reformulaciones de criterios interpretativos de sus alcances como</w:t>
            </w:r>
            <w:r w:rsidRPr="00EB097F">
              <w:rPr>
                <w:rFonts w:ascii="Arial" w:eastAsia="Times New Roman" w:hAnsi="Arial" w:cs="Arial"/>
                <w:color w:val="003399"/>
                <w:sz w:val="17"/>
                <w:szCs w:val="17"/>
                <w:lang w:eastAsia="es-AR"/>
              </w:rPr>
              <w:br/>
              <w:t>a la fuerte incidencia de un Derecho Estatutario; por lo tanto, en la relectura de los Códigos, que contienen el núcleo conceptual del sistema, y en las soluciones de leyes especiales cada vez más numerosas, se privilegian también otros valores diversos de la sola libertad. Esto que muchas veces aparece como novedoso, no es absolutamente original: Conforme al pensamiento de ROUSSEAU, 'hay que distinguir la libertad natural, que no tiene otros límites que la fuerza del individuo, de la libertad civil que está limitada por la libertad general concerniente al interés común'.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'MAS QUE UN PROBLEMA DE LIBERTAD, ES UN PROBLEMA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SUS LIMITES'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Delimitación de la autonomía de la voluntad en nuestro Código Civil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Código Civil se pueden encontrar distintos supuestos en los cuales</w:t>
            </w:r>
            <w:r w:rsidRPr="00EB097F">
              <w:rPr>
                <w:rFonts w:ascii="Arial" w:eastAsia="Times New Roman" w:hAnsi="Arial" w:cs="Arial"/>
                <w:color w:val="003399"/>
                <w:sz w:val="17"/>
                <w:szCs w:val="17"/>
                <w:lang w:eastAsia="es-AR"/>
              </w:rPr>
              <w:br/>
              <w:t>la autonomía de la voluntad se presenta limitada, verbigracia: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Orden Público y las Buenas Costumbres: la equiparación de la fuerza jurígena del contrato con la de la ley nunca ha sido absoluta, pues los actos jurídicos no pueden dejar sin efecto las leyes en cuya observancia estén interesados el orden público y las buenas costumbres (art. 9º del Cód. Civ. Paraguayo); los hechos contrarios al Derecho y a la Moral (?) no pueden jamás ser objeto de una obligación eficaz, porque jamás se podrá invocar la protección de la justicia para lograr su ejecución (art. 299 del Cód. Civ. Paraguayo). 'No podrá ser objeto de los actos jurídicos: ? c) los hechos imposibles, ilícitos, contrarios a la moral y a las buenas costumbres o que perjudiquen los derechos de terceros'.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A partir del desarrollo y la acentuada aceptación de la teoría de la voluntad declarada ?por lo menos sobre las bases de las palabras de declaración?, se abandonó la pesquisa acerca de la voluntad psicológica o real. Vélez subrayó que el dolo quita libertad ?jurídica? al consentimiento, porque las partes han consentido, engañadas sobre la causa principal del acto, y agregó, 'tampoco la violencia quita la libertad, rigurosamente hablando, porque ha podido elegirse el mal mayor' (Arts. 290, 291 y 292 del Cód. Civ. Paraguayo).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c) Los contratos tienen efecto subjetivamente relativo, si bien vinculan además a los sucesores a título universal; ello se explica por la idea de que continúan la persona del causante desde el momento de su muerte. Art. 717 del Cód. Civ.: 'Los efectos de los contratos se extienden activa y pasivamente a los sucesores universales?'; art. 2443: 'Desde la muerte de una persona se transmiten la propiedad de los </w:t>
            </w:r>
            <w:r w:rsidRPr="00EB097F">
              <w:rPr>
                <w:rFonts w:ascii="Arial" w:eastAsia="Times New Roman" w:hAnsi="Arial" w:cs="Arial"/>
                <w:color w:val="003399"/>
                <w:sz w:val="17"/>
                <w:szCs w:val="17"/>
                <w:lang w:eastAsia="es-AR"/>
              </w:rPr>
              <w:lastRenderedPageBreak/>
              <w:t>bienes y derechos que constituyen la herencia desde la muerte del causante, bajo reserva de su facultad de renuncia?'; art. 2450: 'El heredero adquiere la herencia desde la muerte del causante?'.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Ciertos contratos son de formalidad solemne absoluta ?como la donación? Art. 1213? Deben ser otorgadas por escritura pública, bajo pena de nulidad: las donaciones de inmuebles, las donaciones con cargo? casos en los cuales las formas no son dejadas a elección de las partes; así también la renta vitalicia y su constitución que debe realizarse por escritura pública bajo pena de nulidad, art. 1213 inc. c) del Cód. Civ.; otros casos: art. 281 del Cód. Civ.: '?No valdrá (la declaración de voluntad) la que no revista las solemnidades prescriptas, cuando la ley</w:t>
            </w:r>
            <w:r w:rsidRPr="00EB097F">
              <w:rPr>
                <w:rFonts w:ascii="Arial" w:eastAsia="Times New Roman" w:hAnsi="Arial" w:cs="Arial"/>
                <w:color w:val="003399"/>
                <w:sz w:val="17"/>
                <w:szCs w:val="17"/>
                <w:lang w:eastAsia="es-AR"/>
              </w:rPr>
              <w:br/>
              <w:t>exigiere una forma determinada'; art. 702 del Cód. Civ.: 'En el caso del artículo anterior (omisión de escritura pública) la parte que se rehusare en cumplir la obligación podrá ser demandada por la otra para que otorgue la escritura pública'. La forma resulta un plus añadido a la voluntad como vehículo necesario de expresión de ésta o como necesario revestimiento, que puede ser interpuesta como requisito de los contratos cuando se piensa y se ordena que a efectos de su existencia, de su eficacia o de su prueba, es necesario que los contratos aparezcan exteriorizados mediante algún vehículo determinado de conocimiento.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Múltiples disposiciones protegen a la persona y su libertad. Nadie podría someterse a la esclavitud (art. 10 Constitución Nacional de 1992); están prohibidas las condiciones de habitar siempre en un lugar determinado, o sujetar la elección de domicilio a la voluntad de un tercero; mudar o no mudar de religión, casarse con determinada persona, o con aprobación de un tercero, o en cierto lugar o tiempo; vivir célibe perpetua o temporalmente, o casarse con persona determinada o divorciarse (art. 319 inc. a) a 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 Otras se ocupan de la alienabilidad de los bienes: El Código de Vélez prohibía la cláusula de no vender 'a persona alguna' (art. 1364). Nuestro Cód. Civ. en el art. 767 permite la inclusión de dicha cláusula, por lo que ya no se presenta como una limitación. El art. 1212 del Cód. Civ. Paraguayo establece que está prohibida la donación de todos los</w:t>
            </w:r>
            <w:r w:rsidRPr="00EB097F">
              <w:rPr>
                <w:rFonts w:ascii="Arial" w:eastAsia="Times New Roman" w:hAnsi="Arial" w:cs="Arial"/>
                <w:color w:val="003399"/>
                <w:sz w:val="17"/>
                <w:szCs w:val="17"/>
                <w:lang w:eastAsia="es-AR"/>
              </w:rPr>
              <w:br/>
              <w:t>bienes del donante sin reservar parte o renta suficiente para su subsistencia.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 La voluntad del acreedor no resulta suficiente cuando se trata de dispensar el dolo del deudor al contraerse la obligación? El art. 421 del Cód. Civ. establece que 'la responsabilidad por dolo no podrá ser dispensada de antemano'.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g) La ley incorporó la lesión, como vicio propio del acto jurídico. El art. 671 del Cód. Civ. establece que 'si uno de los contratantes obtiene una ventaja manifiestamente injustificada, desproporcionada con la que recibe el otro, explotando la necesidad, la ligereza o inexperiencia de éste?'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 También tenemos la doctrina de la Imprevisión (Art. 672 del Cód. Civ. '?si sobreviniesen circunstancias imprevisibles?' '?que hicieren la prestación excesivamente onerosas?'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 La facultad judicial de reducir cláusulas penales excesivas (art. 459 del Cód. Civ. Paraguayo) o cuando la obligación principal hubiese sido en parte o irregularmente cumplida por el deudor.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j) Y, además, la teoría del abuso del derecho (art. 372 del Cód. Civ. Paraguayo): 'Los derechos deben ser ejercidos de buena fe. El ejercicio abusivo del derecho no está amparado por la ley'.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3. Expansión del concepto. Casos en que el dogma de la autonomía de la voluntad aparece afirmado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obstante, el dogma de la autonomía de la voluntad aparece afirmado en varias situaciones. Tal sucede por ejemplo en estos casos: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El art. 670 del Cód. Civ. Paraguayo (De los Contratos en General) expresa que las reglas de este título serán aplicables a todos los contratos. Los innominados se regirán por las disposiciones relativas a los nominados con los que tuvieren más analogía?; por lo que con ello se predica la libertad de las partes para formular los contratos fuera del catálogo de los nominados o típicos.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En cuanto a las formas el principio es la libertad (art. 302 del Cód. Civ. Paraguayo): '?A falta de regla especial las partes podrán utilizar las formas que estimen convenientes'. No tratándose de formalidad solemne absoluta, dan derecho a reclamar el otorgamiento de la forma correspondiente (arts. 701, 702, 785).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Los contratos deben ser interpretados conforme a la 'intención común de las partes' (art. 708 del Cód. Civ. Paraguayo) y no limitarse al sentido literal de las palabras, lo cual importa asignar paralela fuerza jurígena a las actitudes de ellas posteriores al acuerdo.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d) Esa intención común puede ser inferida de los 'hechos de los contrayentes subsiguientes al contrato' </w:t>
            </w:r>
            <w:r w:rsidRPr="00EB097F">
              <w:rPr>
                <w:rFonts w:ascii="Arial" w:eastAsia="Times New Roman" w:hAnsi="Arial" w:cs="Arial"/>
                <w:color w:val="003399"/>
                <w:sz w:val="17"/>
                <w:szCs w:val="17"/>
                <w:lang w:eastAsia="es-AR"/>
              </w:rPr>
              <w:lastRenderedPageBreak/>
              <w:t>(art. 708 Cód. Civ. Paraguayo).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 En efecto, el principio rector en los contratos es la autonomía de la voluntad (art. 669 del Cód. Civ.): 'Los interesados pueden reglar libremente sus derechos mediante contratos?'.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 Normas imperativas ?aunque no de orden público? como las concernientes a la capacidad de hecho y a vicios de la voluntad y propios del Acto Jurídico, pueden ser separadas mediante la confirmación de la nulidad de un acto 'anulable' (art. 358 inc. a y d / 366 del Cód. Civ. Paraguayo): 'Se tendrá por confirmado un acto anulable cuando por</w:t>
            </w:r>
            <w:r w:rsidRPr="00EB097F">
              <w:rPr>
                <w:rFonts w:ascii="Arial" w:eastAsia="Times New Roman" w:hAnsi="Arial" w:cs="Arial"/>
                <w:color w:val="003399"/>
                <w:sz w:val="17"/>
                <w:szCs w:val="17"/>
                <w:lang w:eastAsia="es-AR"/>
              </w:rPr>
              <w:br/>
              <w:t>otro válido, quien tuviere derecho a pedir la anulación, hiciere desaparecer los vicios?'.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g) En ocasiones lo convenido rige con 'exacerbada permanencia' como en la renta vitalicia (art. 1349 2º Pfo. del Cód. Civ.): 'La obligación de pagar la renta vitalicia se extingue por la muerte de la persona por la duración de cuya vida ha sido constituida; o el caso del MANDATO que continúa subsistiendo aun después de la muerte del mandatario (art. 916</w:t>
            </w:r>
            <w:r w:rsidRPr="00EB097F">
              <w:rPr>
                <w:rFonts w:ascii="Arial" w:eastAsia="Times New Roman" w:hAnsi="Arial" w:cs="Arial"/>
                <w:color w:val="003399"/>
                <w:sz w:val="17"/>
                <w:szCs w:val="17"/>
                <w:lang w:eastAsia="es-AR"/>
              </w:rPr>
              <w:br/>
              <w:t>2º Pfo.).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 La función jurígena de los usos es explicada por su aceptación tácita por las partes que, pudiendo haber prescindido de ellos, no lo han hecho.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 También el Cód. Proc. Civ. Paraguayo en el art. 3º establece la posibilidad de prorrogar la competencia territorial por conformidad de las partes.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Libertades comprendidas en la autonomía de la voluntad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 noción de libertad contractual están abarcadas las facultades de CELEBRAR EL CONTRATO, DE REHUSARSE A HACERLO, de ELEGIR EL COCONTRATANTE, de DETERMINAR SU OBJETO, se trata de las denominadas AUTODECISION Y AUTORREGULACION.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Además, se incluyen la de elegir la FORMA del Contrato, MODIFICARLO, TRANSMITIR LA POSICION CONTRACTUAL Y PONERLE FIN.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lo atinente a estas libertades, en ellas incide visceralmente la noción de orden público?económico; dicho orden puede ser de 'protección', caso en el cual tiende a resguardar a una de las partes y particularmente el equilibrio interno; del contrato y de 'dirección', en el que coadyuva a la realización de 'ciertos objetivos económicos por</w:t>
            </w:r>
            <w:r w:rsidRPr="00EB097F">
              <w:rPr>
                <w:rFonts w:ascii="Arial" w:eastAsia="Times New Roman" w:hAnsi="Arial" w:cs="Arial"/>
                <w:color w:val="003399"/>
                <w:sz w:val="17"/>
                <w:szCs w:val="17"/>
                <w:lang w:eastAsia="es-AR"/>
              </w:rPr>
              <w:br/>
              <w:t>parte del Estado'.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el caso de lesión, el demandante tiene derecho a pretender 'un reajuste equitativo del comercio?', art. 671 del Cód. Civ. Paraguayo.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También en el caso de la EXTINCION DEL CONTRATO se establece el régimen clásico de la conclusión del contrato por acuerdo de las partes (art. 718 del Cód. Civ. Paraguayo), o en situaciones excepcionales, por rescisión unilateral, sin perjuicio, claro está, de la cláusula resolutoria por incumplimiento (art. 725 del Cód. Civ. Paraguayo).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Consideración final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Evidentemente, el tema de la AUTONOMIA DE LA VOLUNTAD no se acaba en este breve estudio cuyo principal objetivo fue enfocar el tema en el Derecho Positivo Paraguayo, y específicamente en nuestro Código Civil. Diversos aspectos son importantes abordarlos para comprender mejor el tema al que me he dedicado, como ser la VALORACION DOCTRINAL al respecto, legislación comparada, etc. No obstante, este breve ensayo puede quizás ser un inicio para estudios posteriores a los que trataré de abocarme.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puedo omitir lo elemental, que para la realización de este estudio significó la obra de ATILIO A ALTIERI Y ROBERTO M. LOPEZ CABANA. AUTONOMIA DE LA VOLUNTAD EN EL CONTRATO MODERNO, Editorial Abelede-Perrot, Buenos Aires. Este texto constituyó la base y modelo del estudio realizado, así como la edición del Código Civil Paraguayo de LA</w:t>
            </w:r>
            <w:r w:rsidRPr="00EB097F">
              <w:rPr>
                <w:rFonts w:ascii="Arial" w:eastAsia="Times New Roman" w:hAnsi="Arial" w:cs="Arial"/>
                <w:color w:val="003399"/>
                <w:sz w:val="17"/>
                <w:szCs w:val="17"/>
                <w:lang w:eastAsia="es-AR"/>
              </w:rPr>
              <w:br/>
              <w:t xml:space="preserve">LEY cuyas concordancias con el Código de Vélez resultaron de invalorableutilidad.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5" w:name="5"/>
            <w:bookmarkEnd w:id="5"/>
            <w:r w:rsidRPr="00EB097F">
              <w:rPr>
                <w:rFonts w:ascii="Arial" w:eastAsia="Times New Roman" w:hAnsi="Arial" w:cs="Arial"/>
                <w:b/>
                <w:bCs/>
                <w:color w:val="009933"/>
                <w:sz w:val="20"/>
                <w:szCs w:val="20"/>
                <w:lang w:eastAsia="es-AR"/>
              </w:rPr>
              <w:t>"EL DERECHO INTERNACIONAL HUMANITARIO Y EL DENOMINADO DERECHO DE INJERENCIA HUMANITARIA"</w:t>
            </w:r>
            <w:r w:rsidRPr="00EB097F">
              <w:rPr>
                <w:rFonts w:ascii="Arial" w:eastAsia="Times New Roman" w:hAnsi="Arial" w:cs="Arial"/>
                <w:color w:val="003399"/>
                <w:sz w:val="17"/>
                <w:szCs w:val="17"/>
                <w:lang w:eastAsia="es-AR"/>
              </w:rPr>
              <w:br/>
              <w:t>SUSANA FRAIDENRAIJ</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Derechos Humanos e Internacional Humanitario</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0" w:anchor="arriba" w:history="1">
              <w:r w:rsidRPr="00EB097F">
                <w:rPr>
                  <w:rFonts w:ascii="Arial" w:eastAsia="Times New Roman" w:hAnsi="Arial" w:cs="Arial"/>
                  <w:i/>
                  <w:iCs/>
                  <w:color w:val="003399"/>
                  <w:sz w:val="17"/>
                  <w:szCs w:val="17"/>
                  <w:lang w:eastAsia="es-AR"/>
                </w:rPr>
                <w:t>volver arriba</w:t>
              </w:r>
            </w:hyperlink>
            <w:r w:rsidRPr="00EB097F">
              <w:rPr>
                <w:rFonts w:ascii="Arial" w:eastAsia="Times New Roman" w:hAnsi="Arial" w:cs="Arial"/>
                <w:i/>
                <w:iCs/>
                <w:color w:val="003399"/>
                <w:sz w:val="17"/>
                <w:szCs w:val="17"/>
                <w:lang w:eastAsia="es-AR"/>
              </w:rPr>
              <w:t xml:space="preserve">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Desafortunadamente, el fin de la guerra Mano ha dado lugar aun período de paz en el mundo actual. Por el contrario, ha surgido un nuevo tipo de conflicto, no como la expresión de una confrontación Ideológica global sino como un resultado de los cambios históricos en los últimos años, tales como los que, por ejemplo, se produjeron en Europa Oriental. Por otra parte, la dramática declinación de la legitimidad y autoridad del Estado y generalizadas crisis institucionales, así como de Identidades colectivas han provocado el surgimiento de movimientos fundamentalistas y 'operaciones de limpieza étnica'. Asimismo, el aumento dc la corrupción a nivel gubernamental y la imposición de planes de ajuste produjeron un deterioro económico y social que en ciertas regiones derivó en levantamientos armados.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decir que causas diversas, tales como la violencia política, social, económica, étnica, o religiosa han provocado un espectacular incremento de conflictos armados en diversas regiones, destacándose como zonas dc crisis África. Asia Central, Oriente Medio, Europa Oriental y ciertos países americanos. La guerra del Golfo, las luchas en la ex Yugoslavia, Somalía, Burundi, Ruanda, Afghanistán, Peal, Colombia y recientemente en México, constituyen tristes ejemplos, cuya sola mención exime de cualquier explicación.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aludidos conflictos han producido y producen como una consecuencia constante víctimas. Las víctimas de la guerra, desamparadas con frecuencia incluso por su propio Estado. En virtud de ello su asistencia y protección se revelan imprescindibles. Esta preocupación legítima se corresponde con el deber de respetar los derechos humanos fundamentales que hacen a la dignidad del hombre; y más simplemente con un deber de solidaridad hacia el que sufre, fuertemente enraizado en las culturas de las diversas regiones del mundo.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protección de las víctimas de los conflictos armados de cualquier naturaleza está regulada por el Derecho Internacional Humanitario. Sin embargo, en los últimos años el significativa incremento y gravedad de los conflictos armados-del tipo de los citados precedentemente- condujeron a que las operaciones de ayuda humanitaria comiencen a ser llevadas a cabo por organizaciones de naturaleza diversa; internacionales, gubernamentales y no gubernamentales y regionales, entre otras.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constituye una novedad que, en los foros internacionales, los gobiernos condicionen la adopción de una decisión a sus propios intereses. Sin embargo, es necesario tener presente el riesgo que ello conlleva en el campo dc lo humanitario, en el cual las consecuencias de la politización de la asistencia se cuentan en vidas humanas. Asimismo, al autorizar el Consejo de Seguridad de las Naciones Unidas a utilizar la fuerza en operaciones de peace-keeping y peace-making, con fines humanitarios, ha complicado aún más la situación, ya que la experiencia reciente demuestra que con ello se produce la militarización de lo humanitario, y lo que es peor, con magros resultados. Así, paradojalmente, es precisamente en el ámbito del suministro de la asistencia humanitaria, en el que se han registrado recientemente las violaciones más flagrantes al Derecho Internacional Humanitario. Por otra parte, el incremento de agentes humanitarios en las zonas de conflicto, cuando no se ajusten a cienos principios de acción. sea por inexperiencia o por falta de una adecuada coordinación puede transformarse también en un factor de complicación.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 expuesto pone de relieve que el sometimiento de la asistencia humanitaria a los avatares de la política, conlleva el riesgo de que dicha asistencia pierda la neutralidad e imparcialidad que deben ser sus rasgos característicos. Así como también, la importancia de que las instituciones que prestan asistencia actúen en forma organizada, respetando las obligaciones prácticas y logísticas que rigen la asistencia humanitaria, ya que de lo contrario corren el riesgo de convenirse en un obstáculo también para los pueblos que ellas se proponen ayudar.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ese orden de ideas, el propósito del presente trabajo será intentar demostrar que el derecho internacional humanitario vigente contiene las disposiciones necesarias en materia de asistencia humanitaria. Y, por lo tanto, el éxito de las operaciones de ayuda humanitarias que se encaren no depende ni de la creación o reconocimiento de nuevos 'derechos' ni de la adopción de nuevas normas, sino del respeto y aplicación de las ya existentes por todas las partes involucradas.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r>
            <w:r w:rsidRPr="00EB097F">
              <w:rPr>
                <w:rFonts w:ascii="Arial" w:eastAsia="Times New Roman" w:hAnsi="Arial" w:cs="Arial"/>
                <w:color w:val="003399"/>
                <w:sz w:val="17"/>
                <w:szCs w:val="17"/>
                <w:lang w:eastAsia="es-AR"/>
              </w:rPr>
              <w:br/>
              <w:t>1. Características generales de la asistencia humanitaria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Toda persona tiene derecho -aun en situaciones de excepción como las generadas por la violencia y los conflictos armados, cualesquiera sea su naturaleza- a que se le garantice un mínimo de bienestar y el respeto de sus derechos humanos básicos, es decir, su vida y su integridad. Tanto el Derecho Internacional Humanitario como el Derecho Internacional de los Derechos Humanos consagran esta afirmación a través de diversos instrumentos1.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responsabilidad primordial a ese respecto Incumbe al Estado en cuyo territorio se encuentran las personas afectadas. Sin embargo, cuando ello no sea posible, y subsista la necesidad de asegurar la supervivencia de las víctimas, éstas o los Gobiernos tienen el derecho de solicitar y recibir socorros humanitarios a las instituciones nacionales e internacionales competentes.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Comité Internacional de la Cruz Roja (CICR), organismo humanitario, independiente e imparcial, tiene el derecho de iniciativa humanitaria que le fuera reconocido expresamente por los Estados en los Convenios de Ginebra de 1949. El mencionado derecho también está contemplado en sus propios Estatutos y en los Estatutos del Movimiento Internacional de la Cruz Roja. Ello permite a la institución ofrecer sus servicios a las Partes en conflicto, no sólo en las situaciones de conflicto armado interno o internacional, reguladas en los Convenios de Ginebra y en sus Protocolos adicionales, sino también en las situaciones de violencia interna que están excluidas de los mencionados instrumentos. Los Estados, por su parte tienen la obligación de examinar la propuesta de buena fe y no deben considerarla como un acto inamistoso o de injerencia en sus asuntos internos.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Además, pueden actuar -en cumplimiento de disposiciones de órganos de las Naciones Unidas y en el marco de sus respectivos mandatos-las agencias especializadas de dicha organización, como por ejemplo ACNUR, UNICEF y PNUD, entre otras.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otra parte, como es sabido, en 1987 Francia comenzó a propiciar que 'el derecho de humanidad prima sobre el derecho de los Estados, y que, porto tanto, el deber de asistencia humanitaria cada vez más integrado en la conciencia universal moderna ha de inscribirse en la legislación internacional en forma de derecho de injerencia humanitaria2. Esta posición fue apoyada por otros países en el seno de las Naciones Unidas, lo que se vio reflejado en diversas resoluciones de la organización.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Algunas dc las decisiones aludidas disponían el empleo de la fuerza armada con fines humanitarios. Ello generó un debate relativo a la utilización indistinta de términos entre sí contradictorios tales como 'intervención humanitaria' y 'asistencia humanitaria'. En tal sentido cabe señalar que -independientemente del interés doctrinario que pueda tener una discusión de esta naturaleza-desde el punto de vista de organizaciones humanitarias con mandatos específicos, como es el caso del CICR, resulta imprescindible clarificar la situación, delimitar roles y actuar en forma coordinada a fin de lograr dar respuesta a las urgentes necesidades de las víctimas de la guerra.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Regulación jurídica de la asistencia humanitaria. Normas aplicables del Derecho Internacional Humanitario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Hace mucho tiempo ya que el ser humano, consciente de la imposibilidad de poner fin a las guerras en forma definitiva, recurrid al derecho Internacional para regularla. De este modo la comunidad internacional adopté normas al respecto, tendientes a evitar el sufrimiento de aquellos que ya no combaten y poniendo una cuota de humanidad en los conflictos armados. Proteger y asistir a las victimas es el objeto y la razón de ser del derecho internacional humanitario.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decir, a nivel jurídico el derecho a la asistencia ha sido receptado en los Convenios de Ginebra de 1949 y sus Protocolos adicionales de 1977. A su vez, dichos tratados consagran expresamente a un organismo humanitario imparcial, el Comité Internacional de la Cruz Roja (CICR), como su agente instrumentador para la protecci6n. y asistencia de las víctimas de los conflictos armados, confiriéndole el derecho de Iniciativa humanitaria3.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es propósito de este trabajo efectuar un exhaustivo análisis de las normas del Derecho Internacional Humanitario en lo relativo a la asistencia humanitaria. Sin perjuicio de ello y a la luz de las disposiciones de dicho cuerpo normativo, es posible afirmar que la asistencia humanitaria se funda en los elementos siguientes:4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Está expresamente prohibido hacer padecer hambre a la población de la parte adversa como método de combate. A su vez. Todos los Estados tienen la obligación de permitir el paso de los convoys de asistencia humanitaria destinados a dicha población cuando esa asistencia se revela como indispensable.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b) Las partes en el conflicto tienen la obligación de suministrar alas poblaciones que se encuentren en el territorio que ellas controlan -esto comprende su propia población-los víveres, medicamentos y otros bienes esenciales ala supervivencia de dicha población y que podrían faltar.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En caso de que las partes en el conflicto no sean capaces de asegurar el suministro de los bienes esenciales a las poblaciones necesitadas, las panes en el conflicto deben aceptar las acciones de asistencia internacional destinadas a los territorios que ellas controlan, y ello comprende su propio territorio.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disposiciones citadas están contenidas en los Convenios de Ginebra de 1949 y sus Protocolos adicionales de 1977. Si se tiene en cuenta que actualmente son 185 los Estados Partes en los Convenios, su universalidad es indudable. Asimismo 130 y 120 respectivamente son los Estados que han ratificado los Protocolos 1 y II, lo que implica sin duda un amplio consenso dentro del contexto internacional en relación a las disposiciones contenidas en dichos instrumentos.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También resulta de interés en esta materia charlas disposiciones relevantes de los 'Principios por los que se rige el derecho a la asistencia humanitaria'5. Ello en tanto que dichos Principios reafirman elementos del derecho internacional humanitario vigente.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Así, se establece que la responsabilidad primera de proteger y ayudar a las víctimas de situaciones de urgencia incumbe a las autoridades del territorio donde tal situación tiene lugar (Principio 4). En caso dc ser necesaria la asistencia internacional se señala que organizaciones como el CICR, el ACNUR y otros órganos de! sistema de las Naciones Unidas tienen derecho a ofrecerla y prestarla: también se indica que pueden hacerlo otras organizaciones humanitarias siempre que ellas retinan las condiciones enunciadas en los principios (Principio 5). Además, se pone de relieve que -para garantizar el ejercicio del derecho a la asistencia humanitaria- es indispensable velar por el acceso a las víctimas, que las autoridades concernidas deben facilitar, sin perjuicio de los controles que ellas determinen ejercer (Principios 6, 10 y12). Respecto de la actividad desplegada por las organizaciones humanitarias, se recomienda -a fin de mejorar la eficacia y evitar las imbricaciones y el derroche- que los principales encargados de esas operaciones coordinen los esfuerzos de los diversos participantes (Principio 13). Asimismo, se expresa que en caso de adoptarse medidas coercitivas -dispuestas por las Naciones Unidas u otras organizaciones zonales competentes- debe respetarse el derecho a la asistencia humanitaria. Y, si se emplean medidas coercitivas para prestar asistencia humanitaria, se debe velar porque dicha asistencia no sea utilizada con finalidad política militar u otros fines similares, debiendo respetarse y aplicarse los principios de humanidad, neutralidad e imparcialidad (Principios 7 y 8). Finalmente, se deja en claro que los citados Principios no son contrarios ni modifican los derechos y deberes establecidos por el derecho vigente (Principio 14).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La asistencia humanitaria y sus limites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Ciertamente, existen ciertos limites respecto del ejercicio de este derecho; ellos están vinculados tanto a la calidad de aquellos que se proponen proveer la ayuda humanitaria, como a exigencias de control estatales (tanto de los países asistidos como de aquellos por cuyos territorios deben atravesar los convoys humanitarios). Así, por ejemplo, la obligación de dejar pasar los socorros destinados a una parte en el conflicto -aun cuando fuera enemiga- puede estar subordinada a las garantías de control que los socorros sean distribuidos solamente a sus legítimos beneficiarios. Además, las partes en el conflicto deben dar su consentimiento a las acciones de ayuda internacional destinados a su territorio, acciones que deben ser de carácter humanitario e imparcial. Sin embargo, esto no implica la existencia de un derecho de cualquiera dc las mismas de rehusar arbitrariamente los socorros indispensables, ya que ello constituiría una violación al principio expuesto precedentemente.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Desde un punto de vista humanitario seria deseable que los límites pudieran reducirse, o mejor suprimirse, pero para ello es necesario identificar previamente las razones que animan a los Gobiernos a imponerlos. En ese sentido, es comprensible y legítimo el temor de los gobernantes de países carentes de recursos o debilitados por la guerra de permitir la entrada masiva y desordenada de organizaciones humanitarias las que, con frecuencia, ignoran o conocen incorrectamente las obligaciones prácticas y logísticas que regulan una operación humanitaria y no comprenden las realidades políticas, sociales y culturales del contexto dentro del que ellas desean prestar ayuda.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fin de evitar que lo expuesto precedentemente se produzca, las organizaciones humanitarias están obligadas a intercambiar experiencias a fin de enriquecerse mutuamente, así como a conformarse a ciertos principios de acción propios con el objeto de minimizar el efecto desestabilizante que puede tener la acción que ellas emprenden no solamente para los gobiernos, sino también para los pueblos que ellas intentan ayudar.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En ese orden de ideas, cabe señalar la importancia que reviste la elaboración de un Código de conducta para las organizaciones comprometidas en la asistencia humanitaria. Dicho instrumento puede constituir una medida útil para obligar a las instituciones a efectuar una cuidadosa reflexión antes de emprender cualquier acción humanitaria, así como también para reforzar el vínculo de confianza indispensable que debe existir entre estas organizaciones y los pueblos de las regiones donde ellas deben actuar.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El denominado derecho de 'injerencia humanitaria'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Resulta pertinente interrogarse sobre lo que sucede en el caso deque el derecho a la asistencia sea objeto de rechazo; en el sentido de si correspondería imponer la presencia de los agentes humanitarios por la fuerza, a pesar de la negativa del Gobierno o facción concernida en recibirla.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respuesta que brinda a esta pregunta el Derecho Internacional Humanitario ha sido explicitada en el punto precedente y puede resumirse del modo siguiente: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Convenios de Ginebra y sus Protocolos adicionales contienen un conjunto de disposiciones que fundan ampliamente el derecho ala asistencia ya la protección de las víctimas de conflictos. Estableciendo además que las acciones de socorro imparciales no serán consideradas par los beligerantes ni como una injerencia en el conflicto armado, ni como actos hostiles, aun cuando la citada. asistencia esté destinada a la población dvii de la Parte adversa.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Sin perjuicio de lo anterior, un conjunto de resoluciones de carácter general de las Naciones Unidas, hacen referencia a un 'derecho a la asistencia o deber de injerencia humanitaria'. El Consejo de Seguridad empleó por primera vez dicho concepto en su decisión 43/141 del 8 de diciembre de 1.988. El mismo sería aplicado con posterioridad en otras situaciones de urgencia como ha sido el caso de la ex-Yugoslavia, Somalía o Liberia. En todos los casos se exige el libre acceso a las víctimas por parte de las organizaciones humanitarias y se indica que la negativa implica un atentado a la vida humana y a la dignidad del hombre 6.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si se efectúa un análisis a fondo de las resoluciones aludidas se podrá verificar que ellas no hacen otra cosa que reiterar los elementos esenciales contenidos en el DIH (proteger y asistir a las poblaciones necesitadas) y con la misma limitación (cual es la de la soberanía nacional), en tanto que se señala que las organizaciones humanitarias no poseen otra amia que la persuasión y no pueden imponer su presencia por la fuerza.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efecto, toda asistencia humanitaria debe contar con el previo consentimiento acordado -en los términos establecidos en los Instrumentos del DIH- de tas autoridades concernidas. Ello es aplicable también al CICR. Sin embargo, esta institución, en ejercicio de su descebo de iniciativa, puede reiterar el ofrecimiento de servicios tantas veces como lo estime procedente.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otra parte, el derecho internacional vigente proscribe el empleo de la fuerza, con la excepción deque se recurra a la misma en el marco de las disposiciones de la Carta de las Naciones Unidas'7. En cuanto a las Operaciones de Mantenimiento de la Paz, la doctrina es conteste en afirmar que su fundamento jurídico (no contemplado expresamente en la Carta) resulta de los poderes implícitos que las Naciones Unidas poseen para adoptar medidas eficaces, con el objeto de cumplir con su fin primordial, cual es el de mantener la paz8.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una operación militar conducida bajo la égida de la ONU es, generalmente, el resultado de una pugna de Intereses, frecuentemente contradictorios, basados en consideraciones de orden político, económico y estratégico. Ello erosiona y debilita el legítimo deseo de la organización -reflejado en la Agenda para la Paz elaborada por el Secretario General- de reforzar los mecanismos de seguridad colectiva. Asimismo, la decisión de imponer la paz que la ONU ha adoptado en situaciones como la de Somalía, aun en contra de la voluntad dc las partes en el conflicto, formalmente contradice el propio espíritu de la Carta y concretamente ha producido escasos resultados.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este sentido, debe recordarse que la necesidad humanitaria no puede justificar el apoyo militar y que la asistencia humanitaria no existe para corregir el disfuncionamiento de la economía o de la política, sino para aliviar el sufrimiento del ser humano que se enfrenta al flagelo de una guerra brindándole la asistencia mínima que necesita para sobrevivir.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Conclusión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luz de los conceptos vertidos precedentemente cabe concluir que: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La asistencia humanitaria no constituye una injerencia en tanto que las partes en el conflicto tienen la obligación -conforme al Derecho Internacional Humanitario vigente y los Principios fundamentales que del mismo se desprenden- de aceptar el ofrecimiento de asistencia humanitaria cuando la población civil carezca de lo necesario para su supervivencia.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virtud de ello, es necesario preservar la independencia del espacio de la acción humanitaria; en tanto que su sometimiento a los avatares de la política, conlleva el riesgo de que dicha asistencia pierda la neutralidad e imparcialidad que deben ser sus rasgos característicos.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ese sentido, el éxito de las operaciones de ayuda humanitaria que se emprendan -Independientemente de quien las propicia- no depende ni de la creación o reconocimiento de nuevos 'derechos' ni de la adopción de nuevas normas, sino del respeto y aplicación de las ya existentes por todas las Partes involucradas.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Finalmente, una cuidadosa planificación y una labor coordinada es lo que compete alas organizaciones comprometidas en la asistencia humanitaria a fin de que puedan cumplir acabadamente con los propósitos de ayuda para los que fueron creadas.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1 Basta citar a titulo de ejemplo el artículo 3° común a los cuatro Convenios de Ginebra, el artículo 4° del Pacto Internacional de Derechos Civiles y Políticos de las Naciones Unidas y el artículo 27 de la Convención Americana sobre Derechos Humanos. Sobre este tema ver además Doswald-Beck y Sylvain Vité Derecho internacional humanitario y derecho de los derechos humanos' en Revista Internacional de la Cruz Roja N° 116, Ginebra, 1993. </w:t>
            </w:r>
            <w:r w:rsidRPr="00EB097F">
              <w:rPr>
                <w:rFonts w:ascii="Arial" w:eastAsia="Times New Roman" w:hAnsi="Arial" w:cs="Arial"/>
                <w:color w:val="003399"/>
                <w:sz w:val="17"/>
                <w:szCs w:val="17"/>
                <w:lang w:eastAsia="es-AR"/>
              </w:rPr>
              <w:br/>
              <w:t>2Dumas, Roland: 'La France et le droit d´ in gérence humanitaire' en Relations internationales et stratégiques, N 3, París, 1991.</w:t>
            </w:r>
            <w:r w:rsidRPr="00EB097F">
              <w:rPr>
                <w:rFonts w:ascii="Arial" w:eastAsia="Times New Roman" w:hAnsi="Arial" w:cs="Arial"/>
                <w:color w:val="003399"/>
                <w:sz w:val="17"/>
                <w:szCs w:val="17"/>
                <w:lang w:eastAsia="es-AR"/>
              </w:rPr>
              <w:br/>
              <w:t>3 El derecho de iniciativa está consagrado en los cuatro Convenios de Ginebra en sus artículos comunes, 3°, 9° y 10. En los Estatutos del CICR en el articulo 5°, párrafo VI, y en los Estatutos del Movimiento Internacional de la Cruz Roja, en el articulo 5°d. XXV Conferencia Internacional de la Cruz Roja, Ginebra, 1986.</w:t>
            </w:r>
            <w:r w:rsidRPr="00EB097F">
              <w:rPr>
                <w:rFonts w:ascii="Arial" w:eastAsia="Times New Roman" w:hAnsi="Arial" w:cs="Arial"/>
                <w:color w:val="003399"/>
                <w:sz w:val="17"/>
                <w:szCs w:val="17"/>
                <w:lang w:eastAsia="es-AR"/>
              </w:rPr>
              <w:br/>
              <w:t>4 En ese sentido cabe citar los artículos 23, 55, 59, 60. 61 y 62 del IV Convenio, artículos 54 y 68 a 71 del Protocolo 1, y artículos 14 del Protocolo II.</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Los Principios toman en consideración las Conclusiones y Recomendaciones de la XVII Mesa Redonda del instituto internacional de Derecho Humanitario sobre 'La evolución del derecho a la asistencia , San Remo, Italia, septiembre de 1992.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 Sobre este tema ver Bettati, Mario: Le devoir d'ingérence, Denoel Paris, 1987 y del mismo autor: L'ONU et l'actioe hwnanitaire en Politique Etrangere. Institut francais des relations internationales, 3/1993.</w:t>
            </w:r>
            <w:r w:rsidRPr="00EB097F">
              <w:rPr>
                <w:rFonts w:ascii="Arial" w:eastAsia="Times New Roman" w:hAnsi="Arial" w:cs="Arial"/>
                <w:color w:val="003399"/>
                <w:sz w:val="17"/>
                <w:szCs w:val="17"/>
                <w:lang w:eastAsia="es-AR"/>
              </w:rPr>
              <w:br/>
              <w:t>7 Mecanismo conocido como el 'sistema de seguridad colectiva'', establecido en las disposiciones del Capitulo VII de la Carta de Naciones Unidas bajo el título de Amenazas contra la Paz. Quebrantamiento de la Paz o Actos de Agresión.</w:t>
            </w:r>
            <w:r w:rsidRPr="00EB097F">
              <w:rPr>
                <w:rFonts w:ascii="Arial" w:eastAsia="Times New Roman" w:hAnsi="Arial" w:cs="Arial"/>
                <w:color w:val="003399"/>
                <w:sz w:val="17"/>
                <w:szCs w:val="17"/>
                <w:lang w:eastAsia="es-AR"/>
              </w:rPr>
              <w:br/>
              <w:t xml:space="preserve">8 Fraidenraij, Susana: Importancia del respeto y difusión del derecho internacional humanitario por las fuerzas de mantenimiento de paz de las Naciones Unidas, Buenos Aires, La Ley, 4/6/93.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xml:space="preserve">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6" w:name="6"/>
            <w:bookmarkEnd w:id="6"/>
            <w:r w:rsidRPr="00EB097F">
              <w:rPr>
                <w:rFonts w:ascii="Arial" w:eastAsia="Times New Roman" w:hAnsi="Arial" w:cs="Arial"/>
                <w:b/>
                <w:bCs/>
                <w:i/>
                <w:iCs/>
                <w:color w:val="009933"/>
                <w:sz w:val="24"/>
                <w:szCs w:val="24"/>
                <w:lang w:eastAsia="es-AR"/>
              </w:rPr>
              <w:t>"EL EMBRION HUMANO ES SUJETO DE DERECHO"</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Stella Ortiz de Zarza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i/>
                <w:iCs/>
                <w:color w:val="009933"/>
                <w:sz w:val="24"/>
                <w:szCs w:val="24"/>
                <w:lang w:eastAsia="es-AR"/>
              </w:rPr>
              <w:t>Tema:</w:t>
            </w:r>
            <w:r w:rsidRPr="00EB097F">
              <w:rPr>
                <w:rFonts w:ascii="Arial" w:eastAsia="Times New Roman" w:hAnsi="Arial" w:cs="Arial"/>
                <w:color w:val="003399"/>
                <w:sz w:val="17"/>
                <w:szCs w:val="17"/>
                <w:lang w:eastAsia="es-AR"/>
              </w:rPr>
              <w:t xml:space="preserve"> Derechos Humanos e Internacional Humanitario</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1"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xml:space="preserve">Cuando la Convención Nacional Constituyente de 1992 aprobó el art. 4º de la Constitución Nacional con la cláusula 'en general', abrió una brecha legal por la que muchas veces la vida humana quedará en nuestro país sin la protección necesaria. </w:t>
            </w:r>
            <w:r w:rsidRPr="00EB097F">
              <w:rPr>
                <w:rFonts w:ascii="Arial" w:eastAsia="Times New Roman" w:hAnsi="Arial" w:cs="Arial"/>
                <w:color w:val="003399"/>
                <w:sz w:val="17"/>
                <w:szCs w:val="17"/>
                <w:lang w:eastAsia="es-AR"/>
              </w:rPr>
              <w:br/>
              <w:t xml:space="preserve">Y no me refiero ahora al aborto, a pesar de que ya los anteproyectos de reforma del Código Penal lo acogen con la errónea denominación de 'aborto necesario', sino a la total indefensión en que se encuentra el embrión humano en los casos de fecundación 'in vitro'. </w:t>
            </w:r>
            <w:r w:rsidRPr="00EB097F">
              <w:rPr>
                <w:rFonts w:ascii="Arial" w:eastAsia="Times New Roman" w:hAnsi="Arial" w:cs="Arial"/>
                <w:color w:val="003399"/>
                <w:sz w:val="17"/>
                <w:szCs w:val="17"/>
                <w:lang w:eastAsia="es-AR"/>
              </w:rPr>
              <w:br/>
              <w:t xml:space="preserve">Desde el momento en que la Constitución Nacional no establece una protección absoluta de la vida humana que biológicamente se inicia en la concepción, los embriones no implantados aunque sean seres vivos, consecuencia de la unión de células humanas y por ende seres humanos con todos los derechos naturales que este hecho implica, seguirán siendo objeto de interminables polémicas y sus derechos discutidos, y lo más grave, conculcados en nombre de la Ciencia y hasta el Derecho. </w:t>
            </w:r>
            <w:r w:rsidRPr="00EB097F">
              <w:rPr>
                <w:rFonts w:ascii="Arial" w:eastAsia="Times New Roman" w:hAnsi="Arial" w:cs="Arial"/>
                <w:color w:val="003399"/>
                <w:sz w:val="17"/>
                <w:szCs w:val="17"/>
                <w:lang w:eastAsia="es-AR"/>
              </w:rPr>
              <w:br/>
              <w:t xml:space="preserve">Profesionales de la Medicina de nuestro país anuncian públicamente que realizan lo que llaman 'fecundación asistida' y que muchas veces no es otra cosa que fecundación 'in vitro'. </w:t>
            </w:r>
            <w:r w:rsidRPr="00EB097F">
              <w:rPr>
                <w:rFonts w:ascii="Arial" w:eastAsia="Times New Roman" w:hAnsi="Arial" w:cs="Arial"/>
                <w:color w:val="003399"/>
                <w:sz w:val="17"/>
                <w:szCs w:val="17"/>
                <w:lang w:eastAsia="es-AR"/>
              </w:rPr>
              <w:br/>
              <w:t xml:space="preserve">Se sabe que en este tipo de actuación son varios los embriones que inician su evolución y es de público conocimiento que cuando no se implantan, todos los que no se desechan, se congelan. </w:t>
            </w:r>
            <w:r w:rsidRPr="00EB097F">
              <w:rPr>
                <w:rFonts w:ascii="Arial" w:eastAsia="Times New Roman" w:hAnsi="Arial" w:cs="Arial"/>
                <w:color w:val="003399"/>
                <w:sz w:val="17"/>
                <w:szCs w:val="17"/>
                <w:lang w:eastAsia="es-AR"/>
              </w:rPr>
              <w:br/>
              <w:t xml:space="preserve">Uno no puede menos que preguntarse si en nuestro país obtienen en el proceso un solo embrión (Esto implica menos posibilidades de 'éxito' y mayor costo y esto no es nada bajo) o varios. </w:t>
            </w:r>
            <w:r w:rsidRPr="00EB097F">
              <w:rPr>
                <w:rFonts w:ascii="Arial" w:eastAsia="Times New Roman" w:hAnsi="Arial" w:cs="Arial"/>
                <w:color w:val="003399"/>
                <w:sz w:val="17"/>
                <w:szCs w:val="17"/>
                <w:lang w:eastAsia="es-AR"/>
              </w:rPr>
              <w:br/>
              <w:t xml:space="preserve">Si obtienen varios ¿qué hacen con los no implantados? No olvidemos que son seres humanos absolutamente incapaces de hecho pero capaces de derecho. ¿Quién los representa? ¿Será que alguien se está arrogando el derecho de decidir quién será el sobreviviente? ¿Quién garantiza que no serán objeto de experimentaciones con fines científicos? La clonación en seres humanos dejó de ser una utopía en el primer mundo. ¿Quién protege a esos embriones de experimentos como éste y otros semejantes? </w:t>
            </w:r>
            <w:r w:rsidRPr="00EB097F">
              <w:rPr>
                <w:rFonts w:ascii="Arial" w:eastAsia="Times New Roman" w:hAnsi="Arial" w:cs="Arial"/>
                <w:color w:val="003399"/>
                <w:sz w:val="17"/>
                <w:szCs w:val="17"/>
                <w:lang w:eastAsia="es-AR"/>
              </w:rPr>
              <w:br/>
              <w:t xml:space="preserve">Cuando se pierde de vista que el ser concebido es humano desde el primer instante de vida y por ende sujeto de derechos y merecedor de la protección legal, se podrían aceptar conductas que por radicalmente injustas no merecen la protección del ordenamiento jurídico. </w:t>
            </w:r>
            <w:r w:rsidRPr="00EB097F">
              <w:rPr>
                <w:rFonts w:ascii="Arial" w:eastAsia="Times New Roman" w:hAnsi="Arial" w:cs="Arial"/>
                <w:color w:val="003399"/>
                <w:sz w:val="17"/>
                <w:szCs w:val="17"/>
                <w:lang w:eastAsia="es-AR"/>
              </w:rPr>
              <w:br/>
              <w:t xml:space="preserve">Algunas de ellas parecen de muy remota posibilidad como el uso de óvulos de niños abortados para la fertilización ' in vitro', provocación de embarazo por medio de la estimulación de óvulos de embriones femeninos, uso de embriones 'descartados' y utilización de los mismos para experimentación y de otros fecundados para este fin exclusivo, clonación o gemelación de embriones usando estas 'copias físicas exactas' para donación de órganos o para suplantar al ' original' que por algún motivo se haya perdido. Incluso mediante la 'copia' se podría comprobar la 'normalidad' del original, sin riesgos para éste; tampoco es imposible, como temía el Profesor Jerome Lejeune, producir formas de vida hídrida, utilizando gametos humanos y animales o preservar sólo partes vivas de embriones, en cultivos de células. </w:t>
            </w:r>
            <w:r w:rsidRPr="00EB097F">
              <w:rPr>
                <w:rFonts w:ascii="Arial" w:eastAsia="Times New Roman" w:hAnsi="Arial" w:cs="Arial"/>
                <w:color w:val="003399"/>
                <w:sz w:val="17"/>
                <w:szCs w:val="17"/>
                <w:lang w:eastAsia="es-AR"/>
              </w:rPr>
              <w:br/>
              <w:t xml:space="preserve">Estas posibles manipulaciones están en diferentes etapas de ser realidad. La clonación se presentó el año pasado a la comunidad médica mundial en un Congreso sobre Fertilización, en Montreal (Canadá) y sobre los otros ha dado su voz de alerta la American Life League Inc. </w:t>
            </w:r>
            <w:r w:rsidRPr="00EB097F">
              <w:rPr>
                <w:rFonts w:ascii="Arial" w:eastAsia="Times New Roman" w:hAnsi="Arial" w:cs="Arial"/>
                <w:color w:val="003399"/>
                <w:sz w:val="17"/>
                <w:szCs w:val="17"/>
                <w:lang w:eastAsia="es-AR"/>
              </w:rPr>
              <w:br/>
              <w:t xml:space="preserve">Nuestras leyes sanitarias protegen a la persona por nacer (Art. 15 del Código Sanitario) lo mismo que el Código del Menor, desde la concepción (Art. 1º, en concordancia con el Código Civil). </w:t>
            </w:r>
            <w:r w:rsidRPr="00EB097F">
              <w:rPr>
                <w:rFonts w:ascii="Arial" w:eastAsia="Times New Roman" w:hAnsi="Arial" w:cs="Arial"/>
                <w:color w:val="003399"/>
                <w:sz w:val="17"/>
                <w:szCs w:val="17"/>
                <w:lang w:eastAsia="es-AR"/>
              </w:rPr>
              <w:br/>
              <w:t xml:space="preserve">Por otra parte, las leyes 70/91 y 106/91 que crean el Banco Nacional de Organos y Tejidos, la primera y reglamenta la extracción, los transplantes e injertos de órganos y tejidos con fines científicos y terapéuticos, la segunda, no incluyen gametos ni óvulos fecundados. </w:t>
            </w:r>
            <w:r w:rsidRPr="00EB097F">
              <w:rPr>
                <w:rFonts w:ascii="Arial" w:eastAsia="Times New Roman" w:hAnsi="Arial" w:cs="Arial"/>
                <w:color w:val="003399"/>
                <w:sz w:val="17"/>
                <w:szCs w:val="17"/>
                <w:lang w:eastAsia="es-AR"/>
              </w:rPr>
              <w:br/>
              <w:t xml:space="preserve">Mientras tanto, sobre el tema impera en nuestro ámbito legislativo el silencio más profundo. Los anteproyectos de Código Penal en estudio (Comisión Nacional de Codificación y Senador Fernández Arévalos), no se ocupan del tema. </w:t>
            </w:r>
            <w:r w:rsidRPr="00EB097F">
              <w:rPr>
                <w:rFonts w:ascii="Arial" w:eastAsia="Times New Roman" w:hAnsi="Arial" w:cs="Arial"/>
                <w:color w:val="003399"/>
                <w:sz w:val="17"/>
                <w:szCs w:val="17"/>
                <w:lang w:eastAsia="es-AR"/>
              </w:rPr>
              <w:br/>
              <w:t xml:space="preserve">Es necesario llenar este vacío jurídico estableciendo qué es el embrión y prohibiendo coherentemente toda clase de prácticas no encaminadas a obtener nacimientos. La ley debe enfocar clara y directamente la protección del embrión, sin pronunciarse sobre la fecundación in vitro, pues si la tolera no es conveniente que la refrende, por no ser una conducta que beneficie al ser humano o redunde en la obtención del bien común, objeto de toda ley que busque la justicia. </w:t>
            </w:r>
            <w:r w:rsidRPr="00EB097F">
              <w:rPr>
                <w:rFonts w:ascii="Arial" w:eastAsia="Times New Roman" w:hAnsi="Arial" w:cs="Arial"/>
                <w:color w:val="003399"/>
                <w:sz w:val="17"/>
                <w:szCs w:val="17"/>
                <w:lang w:eastAsia="es-AR"/>
              </w:rPr>
              <w:br/>
              <w:t xml:space="preserve">Al regular la fecundación in vitro se da una aprobación implícita a sus técnicas y a lo que éstas llevan consigo (en el presente: embriones sobrantes, congelados o desechados) y en el futuro (eugenesia total). </w:t>
            </w:r>
            <w:r w:rsidRPr="00EB097F">
              <w:rPr>
                <w:rFonts w:ascii="Arial" w:eastAsia="Times New Roman" w:hAnsi="Arial" w:cs="Arial"/>
                <w:color w:val="003399"/>
                <w:sz w:val="17"/>
                <w:szCs w:val="17"/>
                <w:lang w:eastAsia="es-AR"/>
              </w:rPr>
              <w:br/>
              <w:t xml:space="preserve">Sería lamentable que al legislar sobre el estatuto del embrión no se establezca claramente que su existencia comienza con la unión de un óvulo con un espermatozoide, inicio de la vida humana. </w:t>
            </w:r>
            <w:r w:rsidRPr="00EB097F">
              <w:rPr>
                <w:rFonts w:ascii="Arial" w:eastAsia="Times New Roman" w:hAnsi="Arial" w:cs="Arial"/>
                <w:color w:val="003399"/>
                <w:sz w:val="17"/>
                <w:szCs w:val="17"/>
                <w:lang w:eastAsia="es-AR"/>
              </w:rPr>
              <w:br/>
              <w:t xml:space="preserve">Sin esta clara definición las incoherencias resultantes la harán poco segura o ineficaz. </w:t>
            </w:r>
            <w:r w:rsidRPr="00EB097F">
              <w:rPr>
                <w:rFonts w:ascii="Arial" w:eastAsia="Times New Roman" w:hAnsi="Arial" w:cs="Arial"/>
                <w:color w:val="003399"/>
                <w:sz w:val="17"/>
                <w:szCs w:val="17"/>
                <w:lang w:eastAsia="es-AR"/>
              </w:rPr>
              <w:br/>
              <w:t xml:space="preserve">Considerar humano al que biológicamente lo es, puede ser una molestia para los que se dedican a la fecundación in vitro, como lo afirma el Prof. Antonio Pardo del Departamento de Bioética de la Universidad de Navarra, pues lo somete a numerosas limitaciones, pero es la manera más eficaz de proteger al embrión aunque sea unicelular. </w:t>
            </w:r>
            <w:r w:rsidRPr="00EB097F">
              <w:rPr>
                <w:rFonts w:ascii="Arial" w:eastAsia="Times New Roman" w:hAnsi="Arial" w:cs="Arial"/>
                <w:color w:val="003399"/>
                <w:sz w:val="17"/>
                <w:szCs w:val="17"/>
                <w:lang w:eastAsia="es-AR"/>
              </w:rPr>
              <w:br/>
              <w:t xml:space="preserve">Una sociedad con vocación de permanencia no puede permitir que se manipule a seres humanos así tengan un día de vida u ochenta años. Tan humanos el primero como el segundo, merecen la misma protección. </w:t>
            </w:r>
            <w:r w:rsidRPr="00EB097F">
              <w:rPr>
                <w:rFonts w:ascii="Arial" w:eastAsia="Times New Roman" w:hAnsi="Arial" w:cs="Arial"/>
                <w:color w:val="003399"/>
                <w:sz w:val="17"/>
                <w:szCs w:val="17"/>
                <w:lang w:eastAsia="es-AR"/>
              </w:rPr>
              <w:br/>
              <w:t xml:space="preserve">La manipulación de seres humanos no puede tener nunca la aprobación legal aunque ésta sea limitada, porque destruyendo la coherencia del orden jurídico, se socavan las bases de la sociedad. </w:t>
            </w:r>
            <w:r w:rsidRPr="00EB097F">
              <w:rPr>
                <w:rFonts w:ascii="Arial" w:eastAsia="Times New Roman" w:hAnsi="Arial" w:cs="Arial"/>
                <w:color w:val="003399"/>
                <w:sz w:val="17"/>
                <w:szCs w:val="17"/>
                <w:lang w:eastAsia="es-AR"/>
              </w:rPr>
              <w:br/>
              <w:t xml:space="preserve">Bibliografía </w:t>
            </w:r>
            <w:r w:rsidRPr="00EB097F">
              <w:rPr>
                <w:rFonts w:ascii="Arial" w:eastAsia="Times New Roman" w:hAnsi="Arial" w:cs="Arial"/>
                <w:color w:val="003399"/>
                <w:sz w:val="17"/>
                <w:szCs w:val="17"/>
                <w:lang w:eastAsia="es-AR"/>
              </w:rPr>
              <w:br/>
              <w:t xml:space="preserve">* Constitución Nacional de la República del Paraguay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 xml:space="preserve">* Código Sanitario de la República del Paraguay </w:t>
            </w:r>
            <w:r w:rsidRPr="00EB097F">
              <w:rPr>
                <w:rFonts w:ascii="Arial" w:eastAsia="Times New Roman" w:hAnsi="Arial" w:cs="Arial"/>
                <w:color w:val="003399"/>
                <w:sz w:val="17"/>
                <w:szCs w:val="17"/>
                <w:lang w:eastAsia="es-AR"/>
              </w:rPr>
              <w:br/>
              <w:t xml:space="preserve">* Código del Menor de la República del Paraguay </w:t>
            </w:r>
            <w:r w:rsidRPr="00EB097F">
              <w:rPr>
                <w:rFonts w:ascii="Arial" w:eastAsia="Times New Roman" w:hAnsi="Arial" w:cs="Arial"/>
                <w:color w:val="003399"/>
                <w:sz w:val="17"/>
                <w:szCs w:val="17"/>
                <w:lang w:eastAsia="es-AR"/>
              </w:rPr>
              <w:br/>
              <w:t xml:space="preserve">* Ley Nº 70/91 </w:t>
            </w:r>
            <w:r w:rsidRPr="00EB097F">
              <w:rPr>
                <w:rFonts w:ascii="Arial" w:eastAsia="Times New Roman" w:hAnsi="Arial" w:cs="Arial"/>
                <w:color w:val="003399"/>
                <w:sz w:val="17"/>
                <w:szCs w:val="17"/>
                <w:lang w:eastAsia="es-AR"/>
              </w:rPr>
              <w:br/>
              <w:t xml:space="preserve">* Ley Nº 106/91 </w:t>
            </w:r>
            <w:r w:rsidRPr="00EB097F">
              <w:rPr>
                <w:rFonts w:ascii="Arial" w:eastAsia="Times New Roman" w:hAnsi="Arial" w:cs="Arial"/>
                <w:color w:val="003399"/>
                <w:sz w:val="17"/>
                <w:szCs w:val="17"/>
                <w:lang w:eastAsia="es-AR"/>
              </w:rPr>
              <w:br/>
              <w:t xml:space="preserve">* Lejeune, Jerome. 'La vida humana' Ed. CIAFIC </w:t>
            </w:r>
            <w:r w:rsidRPr="00EB097F">
              <w:rPr>
                <w:rFonts w:ascii="Arial" w:eastAsia="Times New Roman" w:hAnsi="Arial" w:cs="Arial"/>
                <w:color w:val="003399"/>
                <w:sz w:val="17"/>
                <w:szCs w:val="17"/>
                <w:lang w:eastAsia="es-AR"/>
              </w:rPr>
              <w:br/>
              <w:t xml:space="preserve">* Pardo, Antonio. 'El Estado Legal del Embrión Humano' Universidad de Navarra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7" w:name="7"/>
            <w:bookmarkEnd w:id="7"/>
            <w:r w:rsidRPr="00EB097F">
              <w:rPr>
                <w:rFonts w:ascii="Arial" w:eastAsia="Times New Roman" w:hAnsi="Arial" w:cs="Arial"/>
                <w:b/>
                <w:bCs/>
                <w:color w:val="009933"/>
                <w:sz w:val="20"/>
                <w:szCs w:val="20"/>
                <w:lang w:eastAsia="es-AR"/>
              </w:rPr>
              <w:t>"EL EQUILIBRIO EUROPEO"</w:t>
            </w:r>
            <w:r w:rsidRPr="00EB097F">
              <w:rPr>
                <w:rFonts w:ascii="Arial" w:eastAsia="Times New Roman" w:hAnsi="Arial" w:cs="Arial"/>
                <w:color w:val="003399"/>
                <w:sz w:val="17"/>
                <w:szCs w:val="17"/>
                <w:lang w:eastAsia="es-AR"/>
              </w:rPr>
              <w:br/>
              <w:t>Emilio Ayala Añazco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 Internacional Publico y Relaciones Internacionales</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2"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Estuve pensando en varios temas para redactar una monografía hasta que me decidí por este al leer un artículo en el diario ABC que se titulaba: 'planta de alcohol de Troche perdió 6 mil millones de guaraníes en un año'. Esta fábrica se encuentra a escasos kilómetros de mi ciudad (Villarica) y es uno de los tantos elefantes blancos heredados de la era Stronista de la que aún no nos estamos desprendiendo para que nuestras autoridades (legislativas y administrativas) están más preocupadas en no perder votos, o porque en las empresas del estado están los grandes negociados.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Me decía un amigo que al liberalismo no le interesan los pobres, alusión ésta que generó un extenso debate. Sin embargo al estatismo anti-liberal que sufre nuestro país es a quien no le interesan los pobres. Imagínese que una empresa en propiedad del estado paraguayo está perdiendo lo que puede significar en los harto aludidos temas como educación y salud, grandes inversiones que habrían destinarse a la población en general, o si se quiere sectores más carenciados y abandonados. Cuando habló del liberalismo no me refiero al liberalismo como partido político, si como doctrina política y económica. Con esos seis mil millones de guaraníes pueden tener educación universitaria gratuita por un año más de siete mil quinientos jóvenes, y al liberalismo no le interesan los pobres!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PERO, ¿QUE SON EL LIBERALISMO Y EL NEOLIBERALISMO?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Echando una ojeada a autores de derecho político encontramos, por decirlo así, una versión anacrónica de liberalismo, versiones que no se encuadran a la realidad actual, O sea que no se estaría dando en ningún estado, y que tampoco sería bueno que se diera en un sentido estricto.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Bidart Campos afirma que achica el fin del estado exclusivamente para defensa de los derechos individuales, cuidando que esos derechos no sufran violación. Es el estado policía o gendarme, que vigila y asegura el libre juego de los derechos, y no interviene más que para darles tutela. El estado abstencionista actúa poco porque la libertad individual sólo debe ser limitada cuando daña la libertad de los demás, negando la función social de la persona humana y es su derecho.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el liberalismo originario o clásico, según otro doctrinario del derecho político, la organización política es un mal necesario para que ciertas funciones o fines limitados, esencialmente el de seguridad o protección de la libertad individual, citando a pensadores como Locke y Montesquieu. En el ámbito económico, cita al padre de la economía moderna Adam Smith, quien en la riqueza de las naciones que sistematiza el mecanismo de la forma capitalista, sus fundamentos en el lucro, la avidez de ganancias y la iniciativa, enunciando leyes naturales a que se encuentra sometida, como por ejemplo la oferta y la demanda.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subsistencia de este sistema se hizo al precio del abandono de sus moldes originarios, persistiendo la </w:t>
            </w:r>
            <w:r w:rsidRPr="00EB097F">
              <w:rPr>
                <w:rFonts w:ascii="Arial" w:eastAsia="Times New Roman" w:hAnsi="Arial" w:cs="Arial"/>
                <w:color w:val="003399"/>
                <w:sz w:val="17"/>
                <w:szCs w:val="17"/>
                <w:lang w:eastAsia="es-AR"/>
              </w:rPr>
              <w:lastRenderedPageBreak/>
              <w:t>idea liberal a través del neoliberalismo. Este término objeto de múltiples interpretaciones es para Fayt lo que también se llama liberalismo social, o sea una versión moderada ideada por el economista inglés John Maynard Keynes que proclama una intervención 'moderada, racional y temporal' del estado. Esta política puesta en práctica por el presidente norteamericano Franklin D. Roosevelt ayudó a su país a recuperarse luego de la grave y famosa crisis económica de 1929 que tuvo sus repercusiones en el mundo entero.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QUE LA POLITICA SE ENCUADRA A NUESTRO PAIS?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menudo solemos escuchar vituperios contra el Presidente de la República tratándolo entre otras cosas de neoliberal. Debemos aclarar que el programa de gobierno que Wasmosy propuso durante su campaña presidencial comprendía propuestas de reducir el estado a las funciones que si le incumben e iniciar un proceso de privatización y desmonopolización que posibilitasen un gran auge en las inversiones privadas que posibilitarían del desarrollo y evitarían el gigantismo estatal, caldo de cultivo del robo, el despilfarro y la prebenda que aunque el pueblo, no se cuenta sale de su propio bolsillo negándose asimismo la posibilidad de contar con buena atención médica sin tener que salir de su pueblo; de reducir el número de analfabetos y mejorar la calidad en los diferentes niveles académicos, de aumentar el número de becas a alumnos destacados y de escasos recursos; de mejorar el sistema judicial construyendo cárceles acordes con la dignidad del ser humano y contar con mayor cantidad de jueces y fiscales evitando así que deje de ser ilusorio el efectivo cumplimiento de la justicia 'pronta y barata', la construcción demás obras públicas colaborando también así con el desarrollo, etcétera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estado tendría que haber privatizado, pero no para pasar de un monopolio público a uno privado, sino para posibilitar la competencia entre las empresas proveedoras que tendrían que luchar en precio e invertir en servicio para ganarse los clientes, ya que éstos tendrían la oportunidad de cambiar de empresa si no resultaren satisfechos. Además el monopolio de las empresas estatales está en contraposición al artículo 107 de la constitución nacional que garantiza la competencia en el mercado y no permite la creación de monopolios. O sea que quien tendría que ser celoso en observar la real vigencia de nuestra ley suprema es quien primero ostensiblemente la viola.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 la sola venta de ANTELCO se podrían construir cientos de kilómetros de caminos, escuelas y hospitales, se podría facilitar la inversión de millones de dólares para instalar nuevas empresas que competirían entre sí y reducirían el precio del servicio, pues mientras en países de corte neoliberal contar con una línea telefónica es prácticamente gratuita y se instalan en el día, aquí la inyección de capital privado posibilitó la habilitación de nuevas líneas, pero por el monopolio se ubica entre las más caras del mundo y con un servicio pésimo.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Fondo Monetario Internacional (FMI) en su último informe sobre la economía paraguaya (ABC, 17 de septiembre de 1997) en uno de sus capítulos trata del futuro del IPS (Instituto de Previsión Social), que con su sistema de reparto estaba al borde del colapso. En virtud del artículo 95 de la Constitución que prescribe que 'los servicios de sistema de seguridad social podrán ser públicos, privados o mixtos, y en todos los casos estarán supervisados por el Estado' se pretendió cambiar el sistema de reparto a uno individual de manera que sea más controlable, también a que el beneficiario pueda optar entre abonarse a una institución pública o privada. Luego ante la resistencia de ciertos sectores se proyectó la opción de que se pueda elegir entre el sistema de reparto o el individual, pero al final todos los proyectos están hoy durmiendo en los cajones del parlamento y del ejecutivo, por cuestiones estrictamente políticas como reza el informe del FMI, y mientras tanto se sigue despilfarrando el dinero ajeno.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 propio ocurre con el Banco Nacional de Trabajadores donde existe un contubernium entre Empresarios y Sindicalistas para realizar grandes negociados, y leemos para más sorpresa a los titulares de que se reemplaza al anterior presidente de la entidad porque no estaría apañando las maniobras fraudulentas de administraciones anteriores. Y escucharon ustedes alguna vez que se organice una huelga contra los abusos del IPS y en BNT? , NUNCA!!.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Otro caso es el de nuestro ferrocarril que se cae en pedazos pero tampoco se apela al capital privado para modernizar este medio de transporte que acarrearía una cantidad de ventajas que prefiero omitir. También ACEPAR está vendiendo sus productos muy debajo del costo; y las demás empresas se encuentran en situaciones análogas.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cuatro años de este gobierno tenemos el 'honor' de ser el país más corrupto de Sudamérica y el número 40 en pobreza en el mundo y ni siquiera terminamos reprivatizar una fábrica de caña, después los ocasionales adversarios políticos del Presidente lo acusan injustamente de neoliberal, pues para infortunio de este pueblo masoquista no lo es, y para colmo este parece tener preferencia por modelos políticos que se orientan hacia el populismo y el dirigismo estatal, con lo que sólo logran desangrarse y castigarse más ellos mismos.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Como ejemplo sólo basta que miremos la situación de los países latinoamericanos sumidos en el desarrollo por causa del apego estatista de larga data, basta que comparemos la situación de la destartalada Unión Soviética con la de los Estados Unidos de la desaparecida Alemania Oriental y Occidental, Taiwán con la china comunista, que nos fijemos en ejemplo de Hong Kong que ni siquiera tiene Banco Central ni regulación laboral que habiendo sido una colonia británica percibían un ingreso per cápita superior a la de sus colonizadores. El actual primer ministro inglés Tony Blair fue electo por el partido laborista (de izquierda), pero sin embargo preconiza un capitalismo humanista y una de sus primeras medidas fue el sostenimiento de la autonomía del banco de Inglaterra.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 la caída del muro de Berlín y de la cortina de hierro estamos asistiendo en este fin del siglo a lo que el insigne periodista Mauricio Shwartzman llamó 'fin de las ideologías', o sea que terminan las confusiones entre de izquierda, centro, derecha, etcétera, sino existe la simple división entre países estatistas y no estatistas, o sea entre los que permanecerán en la pobreza y los que abrirán sus puertas al progreso y el desarrollo. Como decía el filósofo español José de Ortega y Gasset: ' ser de la izquierda es, como ser de la derecha, una de las infinitas maneras que el hombre puede elegir para ser un imbécil: ambas, en efecto, son formas de hemiplejía moral. Además, la persistencia de estos calificativos contribuye no poco a falsificar más aún la realidad del presente, ya falsa de por sí, porque ya se ha rizado el rizo de las experiencias políticas a que responden, como lo demuestra el hecho de que hoy las derechas prometen revoluciones y las izquierdas proponen Tiranías'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BIBLIOGRAFÍA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BIDART CAMPOS, Germán. Lecciones Elementales de Política. Ediart Sociedad Anónima Editora Buenos Aires 1995.</w:t>
            </w:r>
            <w:r w:rsidRPr="00EB097F">
              <w:rPr>
                <w:rFonts w:ascii="Arial" w:eastAsia="Times New Roman" w:hAnsi="Arial" w:cs="Arial"/>
                <w:color w:val="003399"/>
                <w:sz w:val="17"/>
                <w:szCs w:val="17"/>
                <w:lang w:eastAsia="es-AR"/>
              </w:rPr>
              <w:br/>
              <w:t>FAYT, Carlos S. Derecho Político Ediciones Depalma. Buenos Aires 1993</w:t>
            </w:r>
            <w:r w:rsidRPr="00EB097F">
              <w:rPr>
                <w:rFonts w:ascii="Arial" w:eastAsia="Times New Roman" w:hAnsi="Arial" w:cs="Arial"/>
                <w:color w:val="003399"/>
                <w:sz w:val="17"/>
                <w:szCs w:val="17"/>
                <w:lang w:eastAsia="es-AR"/>
              </w:rPr>
              <w:br/>
              <w:t>ORTEGA Y GASSET, José. La Rebelión de las Masas. Alianza Editorial S.A. Madrid 1997.</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8" w:name="8"/>
      <w:bookmarkEnd w:id="8"/>
      <w:r w:rsidRPr="00EB097F">
        <w:rPr>
          <w:rFonts w:ascii="Arial" w:eastAsia="Times New Roman" w:hAnsi="Arial" w:cs="Arial"/>
          <w:b/>
          <w:bCs/>
          <w:color w:val="009933"/>
          <w:sz w:val="20"/>
          <w:szCs w:val="20"/>
          <w:lang w:eastAsia="es-AR"/>
        </w:rPr>
        <w:t>"EL SISTEMA DE SEGURIDAD SOCIAL EN EL PARAGUAY"</w:t>
      </w:r>
      <w:r w:rsidRPr="00EB097F">
        <w:rPr>
          <w:rFonts w:ascii="Arial" w:eastAsia="Times New Roman" w:hAnsi="Arial" w:cs="Arial"/>
          <w:color w:val="003399"/>
          <w:sz w:val="17"/>
          <w:szCs w:val="17"/>
          <w:lang w:eastAsia="es-AR"/>
        </w:rPr>
        <w:br/>
        <w:t>PEsteban Kriskovich De Vargas</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3" w:anchor="arriba" w:history="1">
        <w:r w:rsidRPr="00EB097F">
          <w:rPr>
            <w:rFonts w:ascii="Arial" w:eastAsia="Times New Roman" w:hAnsi="Arial" w:cs="Arial"/>
            <w:i/>
            <w:iCs/>
            <w:color w:val="003399"/>
            <w:sz w:val="17"/>
            <w:szCs w:val="17"/>
            <w:lang w:eastAsia="es-AR"/>
          </w:rPr>
          <w:t>volver arriba</w:t>
        </w:r>
      </w:hyperlink>
      <w:r w:rsidRPr="00EB097F">
        <w:rPr>
          <w:rFonts w:ascii="Arial" w:eastAsia="Times New Roman" w:hAnsi="Arial" w:cs="Arial"/>
          <w:i/>
          <w:iCs/>
          <w:color w:val="003399"/>
          <w:sz w:val="17"/>
          <w:szCs w:val="17"/>
          <w:lang w:eastAsia="es-AR"/>
        </w:rPr>
        <w:t xml:space="preserve">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Presentación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intención de este trabajo es presentar una síntesis organizada del sistema de seguridad social paraguayo que pueda servir de fácil consulta a estudiantes de derecho, profesionales y cualquier persona interesada en el tema. Comenzaremos por analizar el concepto de 'Seguridad Social', su evolución histórica, sus principios. Luego nos detendremos en el estudio de las normas xistentes sobre seguridad social en nuestro país. Estudiaremos quiénes son las personas cubiertas por el seguro, qué abarca, a quienes beneficia, y el sistema de jubilaciones y pensiones del IPS. En materia administrativa nos limitaremos a señalar cuáles son los recursos y a qué fondos se destinan estos recursos; pues no es nuestra intención ahondar en este tema sino más bien ocuparnos del sistema de seguridad social fuera de lo administrativo y dentro de las prestaciones médicas, pensiones y jubilaciones a los asegurados. Para concluir y a lo largo de todo el trabajo emitiremos algunas opiniones y críticas personales sobre distintos aspectos del tema en cuestión.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Introducción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¿Qué es la Seguridad Social?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O.I.T. la define como 'La protección que la sociedad proporciona a sus miembros mediante una serie de medidas públicas contra las privaciones económicas y sociales que derivarían de la carencia, desaparición o fuerte reducción de sus ingresos'.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La Organización Internacional de Seguridad Social (O.I.S.S.) la define como 'La cobertura integral de contingencias y garantías de los medios para el desarrollo pleno de la personalidad e integración permanente del individuo en la comunidad promoviendo el bienestar del hombre'.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Dr. Adolfo Aguirre Bayley considera que la seguridad social debe tener los siguientes principios fundamentales: igualdad en las prestaciones, igualdad en las cuotas (uniformidad en la cotización),</w:t>
      </w:r>
      <w:r w:rsidRPr="00EB097F">
        <w:rPr>
          <w:rFonts w:ascii="Arial" w:eastAsia="Times New Roman" w:hAnsi="Arial" w:cs="Arial"/>
          <w:color w:val="003399"/>
          <w:sz w:val="17"/>
          <w:szCs w:val="17"/>
          <w:lang w:eastAsia="es-AR"/>
        </w:rPr>
        <w:br/>
        <w:t>suficiencia de las prestaciones, universalidad de la protección, la clasificación de la prestación según las necesidades de la persona y la unificación de las responsabilidades administrativas. Junto a todos éstos y como base existe el gran principio de la solidaridad que veremos posteriormente.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fin de la seguridad social -coinciden Cristaldo y Kriskovich con Frescura- es la justicia social, entendida como un deber jurídico de solidaridad y cooperación para el logro del bien común en todos los aspectos de la actividad lícita del hombre como persona.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Evolución histórica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siglo XIX surgen nuevas teorías y concepciones económicas que influyen decididamente en el campo social. La industrialización introduce cambios sustanciales en los modos de relacionamiento entre los distintos estratos de las comunidades, las que reaccionan demandando</w:t>
      </w:r>
      <w:r w:rsidRPr="00EB097F">
        <w:rPr>
          <w:rFonts w:ascii="Arial" w:eastAsia="Times New Roman" w:hAnsi="Arial" w:cs="Arial"/>
          <w:color w:val="003399"/>
          <w:sz w:val="17"/>
          <w:szCs w:val="17"/>
          <w:lang w:eastAsia="es-AR"/>
        </w:rPr>
        <w:br/>
        <w:t>mayor protección.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Cuando en 1883 Bismarck instituyó el primer seguro social amplio de enfermedad, despertó el interés por este mecanismo no sólo en los trabajadores y el Estado sino también en los empleadores. Es que constituía una expresión de solidaridad que contribuía a alejar los problemas, posibilitaba mejores relaciones laborales y otorgaba mayor tranquilidad a la comunidad.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Bismarck actuó en un momento en que en el Imperio otogermánico había agitación social, producto de la inseguridad, de carencias de esa sociedad. El criterio de Bismarck fue atemperar esa agitación y afirmar la hegemonía del Imperio.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Recién luego de la Segunda Guerra Mundial, y para paliar los daños sociales que eran consecuencia de ella y de la situación económica mundial (desempleo masivo, caída de mercados de valores y los</w:t>
      </w:r>
      <w:r w:rsidRPr="00EB097F">
        <w:rPr>
          <w:rFonts w:ascii="Arial" w:eastAsia="Times New Roman" w:hAnsi="Arial" w:cs="Arial"/>
          <w:color w:val="003399"/>
          <w:sz w:val="17"/>
          <w:szCs w:val="17"/>
          <w:lang w:eastAsia="es-AR"/>
        </w:rPr>
        <w:br/>
        <w:t>innumerables problemas planteados por la mecánica del comercio internacional), se consolida mundialmente la Seguridad Social y tiene sus bases en el llamado 'Plan Beveridge'. En esta época se crea en nuestro país el Instituto de Previsión Social (IPS), organismo autónomo y autárquico encargado de dirigir y administrar el seguro social, por Decreto-Ley Nº 17071 del 18 de febrero de 1943, luego sus funciones fueron ampliadas por el D.L. Nº 1860 del 1º de diciembre de 1950 y numerosas leyes modificatorias y ampliatorias posteriores como la Ley Nº 427 del 19 de diciembre de 1973, la Ley Nº 1286 del 14 de diciembre de l987 y la Ley Nº 98 del 31 de diciembre de l992, entre las principales.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Principio de la solidaridad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el principio por el cual en un mismo Estado, todos y cada uno de los ciudadanos contribuyen para el beneficio de todos y cada uno de los ciudadanos.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Los impuestos, tasas y contribuciones individuales que vayan en beneficio de todos y cada uno, forman parte de la 'solidaridad social'.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Cuando hablamos de seguro social en términos modernos podemos decir que s una muestra de solidaridad entre trabajadores, fundamentalmente, y surge por el interés de éstos, del Estado y de los empleadores.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 técnica más moderna, la seguridad social se caracteriza por su origen legal, por su carácter obligatorio, por su financiación por intermedio de cotizaciones obligatorias de empleadores y trabajadores, a veces aporta el Estado como tripartita (como en Paraguay), y en otra tan sólo aporta el patrón.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Cuando no se establece tope de seguro social, juega a pleno el principio de la solidaridad; es decir al no haber topes el excedente de uno sirve para el otro, lo que demora uno en percibir el beneficio significa que ese monto puede aplicarse a quien lo necesita con anticipación. Los fondos excedentarios se tratan de invertir de la mejor manera posible.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prestaciones se hacen normalmente en proporción a las cotizaciones, no se analiza la carencia de recursos del beneficiario, están en relación de los ingresos que se perciban y se administran sin fines de lucro.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Por ello personalmente consideramos de graves consecuencias sociales la privatización del seguro social paraguayo, pues serían instituciones que tenderían más bien a la capitalización individual de los aportes, </w:t>
      </w:r>
      <w:r w:rsidRPr="00EB097F">
        <w:rPr>
          <w:rFonts w:ascii="Arial" w:eastAsia="Times New Roman" w:hAnsi="Arial" w:cs="Arial"/>
          <w:color w:val="003399"/>
          <w:sz w:val="17"/>
          <w:szCs w:val="17"/>
          <w:lang w:eastAsia="es-AR"/>
        </w:rPr>
        <w:lastRenderedPageBreak/>
        <w:t>restringiendo enormemente el principio de la solidaridad en que cada uno aporta en beneficio de todos y de él mismo. Además serían organizaciones con fines de lucro, desnaturalizando la misión de las instituciones de seguridad social, ya que el seguro social es siempre parte de toda una política de progreso social, que implica la lucha contra la necesidad, y</w:t>
      </w:r>
      <w:r w:rsidRPr="00EB097F">
        <w:rPr>
          <w:rFonts w:ascii="Arial" w:eastAsia="Times New Roman" w:hAnsi="Arial" w:cs="Arial"/>
          <w:color w:val="003399"/>
          <w:sz w:val="17"/>
          <w:szCs w:val="17"/>
          <w:lang w:eastAsia="es-AR"/>
        </w:rPr>
        <w:br/>
        <w:t>proporcionar bienestar a toda la comunidad.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¿Cómo funciona el sistema de seguridad social paraguayo?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Personas incluidas en el régimen del seguro (art. 2º Ley Nº 98/92)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personas que están incluidas en el régimen del seguro social del IPS son las siguientes: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Los trabajadores asalariados que prestan servicios o ejecutan una obra en virtud de un contrato de trabajo verbal o escrito, cualquiera sea su edad y el monto de la remuneración que perciban, los aprendices y el personal de los entes descentralizados del Estado o empresas mixtas, quedan incluidos en forma obligatoria en el régimen del Seguro.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Estarán también cubiertos por el Seguro Obligatorio, sólo en los riesgos de accidentes, enfermedad y maternidad, los maestros y catedráticos de enseñanza privada: primaria, normal, media, profesional y de idiomas; y el personal del servicio doméstico, conforme con los</w:t>
      </w:r>
      <w:r w:rsidRPr="00EB097F">
        <w:rPr>
          <w:rFonts w:ascii="Arial" w:eastAsia="Times New Roman" w:hAnsi="Arial" w:cs="Arial"/>
          <w:color w:val="003399"/>
          <w:sz w:val="17"/>
          <w:szCs w:val="17"/>
          <w:lang w:eastAsia="es-AR"/>
        </w:rPr>
        <w:br/>
        <w:t>reglamentos que dicte el Consejo de Administración del Instituto, con aprobación del Poder Ejecutivo.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Están igualmente cubiertos los maestros y catedráticos de la enseñanza primaria y normal de la República, que dependan del Ministerio de Educación y Culto, de acuerdo con la Ley Nº 537 del 20 de setiembre de 1958, y este mismo régimen legal se aplicará a los catedráticos de la educación media, profesional y de idiomas dependientes del Ministerio mencionado.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Igualmente, quedan incluidos en el régimen establecido en la mencionada Ley Nº 537, los catedráticos universitarios de instituciones públicas y privadas.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Además se establece el Seguro General Voluntario para el trabajador independiente y para los afectados a regímenes especiales que serán reglamentados por el Consejo de Administración del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Excepciones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exceptúan de la disposición citada: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Los funcionarios y empleados de la Administración Central;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Los empleados de los bancos privados y oficiales de la República (Nota: personalmente no estamos de acuerdo con la exclusión de los trabajadores bancarios. Han logrado esto con esfuerzos y negociaciones, pero atenta con el principio de la solidaridad, más aún porque son algunos de los trabajadores mejor pagados del país.);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Los miembros de las Fuerzas Armadas y Policiales; 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Los trabajadores del Ferrocarril 'Carlos Antonio López', que se hallaren afiliados a su respectiva Caja de Seguro Social, a la fecha de la promulgación de esta Ley.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Recursos y financiamiento del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Según el art. 17 de la Ley 375, modificado por la Ley 98/92, el IPS cuenta con los siguientes recursos: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cuota mensual de los trabajadores, que será del 9% de sus salarios;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La cuota mensual de los empleadores, que será del 14% calculado sobre los salarios de sus trabajadores.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El aporte del Estado, que será del 1,5% calculado sobre el monto de los salarios sobre los cuales imponen los empleadores.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(Nota: este aporte debe hacerse trimestralmente y en dinero, dentro del mes siguiente al vencido, según el art. 22 de la Ley 375. Sin embargo, desde la creación del Instituto, el Estado nunca ha realizado este aporte).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Estos son los aportes principales, luego se encuentran los siguientes (art. 17):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La cuota mensual de los Maestros y Catedráticos de la enseñanza primaria, media, profesional y de idiomas y de los Catedráticos Universitarios de las Instituciones Públicas o Privadas, que será del 5,5% de sus remuneraciones.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e) Las cuotas mensuales del personal del servicio doméstico que será del 2.5%, calculado sobre el salario mínimo del trabajador de la Categoría 'A' de los establecimientos ganaderos hasta que se establezca el salario mínimo para el personal del servicio doméstico. Si el salario del personal doméstico fuese de mayor monto, este salario será la base del mencionado aporte;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 La cuota mensual del empleador de instituciones privadas de enseñanza, que será el 2,5% de las remuneraciones que perciben los docentes referido en el inc. 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g) La cuota mensual del trabajador independiente, del 8% calculado sobre la base de 25 jornales mínimos para actividades diversas no especificadas en la Capital de la República;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 La cuota mensual del empleador del personal del servicio doméstico, que será del 5,5% del salario mínimo especificado en el inciso 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 La cuota del beneficiario de Jubilaciones y Pensiones, que será del 6% del monto de los respectivos beneficios;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j) El ingreso por renta de las inversiones del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k) El ingreso de los recargos y multas aplicadas de conformidad con las disposiciones legales;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 El ingreso por las atenciones y servicios urgentes, en hospitales del Instituto a personas no aseguradas conforme a tarifas establecidas por el Consejo de Administración del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ll) La cuota mensual de los trabajadores de la Administración Nacional de Electricidad, que será del 6% calculado sobre sus salarios;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 La cuota mensual de la Administración Nacional de Electricidad, que será del 12% calculado sobre los salarios de sus trabajadores;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 El aporte mensual obligatorio, del 12,5%, por parte de los asegurados que hayan obtenido su continuidad en el seguro;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ñ) El aporte adicional obligatorio del Asegurado, del 5% sobre el monto total de los salarios por reconocimiento de servicios anteriores, de conformidad con la ley (Nota: ver L.430, arts.. 13 a 16 con sus modificaciones);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 Los legados y donaciones que se hicieren al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 La cuota mensual del Ministerio de Educación y Culto del 2,5% de las remuneraciones sobre las cuales aportan maestros y catedráticos de la Enseñanza primaria, media, profesional y de idiomas, y de los catedráticos de las instituciones públicas; 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 Cualquier otro ingreso que obtenga el Instituto no especificado en los incisos anteriores.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Destino de los fondos del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Fondo Común de Pensiones y Jubilaciones (art. 23 L.375, modif. Por L.98/92)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Instituto debe destinar cada año para el pago de Jubilaciones y Pensiones una cantidad igual al 12,5% calculado sobre el monto de los salarios imponibles sobre los cuales fueron pagadas las cuotas establecidas en los incisos a), b), j), ll), m), n), ñ), y la totalidad del inciso c) del artículo 17 de esta Ley, más los capitales constitutivos de las Jubilaciones y Pensiones como consecuencia de</w:t>
      </w:r>
      <w:r w:rsidRPr="00EB097F">
        <w:rPr>
          <w:rFonts w:ascii="Arial" w:eastAsia="Times New Roman" w:hAnsi="Arial" w:cs="Arial"/>
          <w:color w:val="003399"/>
          <w:sz w:val="17"/>
          <w:szCs w:val="17"/>
          <w:lang w:eastAsia="es-AR"/>
        </w:rPr>
        <w:br/>
        <w:t>accidentes de trabajo, conforme a lo establecido en el artículo 48 del DL Nº 1860/50, aprobado por Ley Nº 375 y sus modificaciones.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Fondo de Enfermedad-Maternidad (art. 24 L.375, modif. por L.98/92)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gastos necesarios para cubrir el costo de los riesgos de enfermedad no profesional y de maternidad, accidente del trabajo y enfermedad profesional y los subsidios correspondientes, serán financiados con el 9% del monto total de los salarios sobre los cuales se abonan las cuotas establecidas en el art. 17, inc. a), b), c), ll), y m).</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cuotas provenientes del seguro del magisterio oficial y privado y del personal del servicio doméstico, establecidos en el art. 17, inc.</w:t>
      </w:r>
      <w:r w:rsidRPr="00EB097F">
        <w:rPr>
          <w:rFonts w:ascii="Arial" w:eastAsia="Times New Roman" w:hAnsi="Arial" w:cs="Arial"/>
          <w:color w:val="003399"/>
          <w:sz w:val="17"/>
          <w:szCs w:val="17"/>
          <w:lang w:eastAsia="es-AR"/>
        </w:rPr>
        <w:br/>
        <w:t>d), e), f), h) e i), y los ingresos establecidos en los incisos g), l), y p) del mismo artículo, serán destinados en su totalidad a los referidos riesgos y servicios.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3) Fondo de Administración General (ídem)</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gastos de Administración General del Instituto serán financiados con el 1,5% del monto total de los salarios sobre los cuales se abonan las cuotas establecidas en el art. 17, inc. a), b), c), ll), y m), más las multas, recargos y comisiones a que se refiere el art. 17, inc. k). o), y q).</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Fondo de Imprevisto (ídem)</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Anualmente se destinará a este fondo la totalidad del aporte del Estado de conformidad con el inciso c) del art. 17 de esta Ley, y que representa el 1,5% sobre el monto de los salarios imponibles. (Nota: Este artículo presenta una incoherencia con el art. 23, pues el 100% del aporte del Estado debería ir tanto al Fondo de Imprevistos como al Fondo Común de Jubilaciones y Pensiones. No sabemos cómo se llevará a la práctica).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Estudio financiero actuarial periódico: debe realizarse ordinariamente cada tres años y extraordinariamente cuando lo acuerde el Consejo de Administración (art.- 26). Además cada año se realizará un ajuste de las Reservas Técnicas o Fondo Común de Jubilaciones y Pensiones (ídem).</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Prestaciones del seguro del I.P.S.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prestaciones del seguro del Instituto están previstas en el Cap. 5º del D.L. 1860/50, aprobado por Ley Nº 375/56, que luego fue modificada por la Ley Nº 427/73 y la Ley Nº 98/92. Dichas prestaciones son las siguientes: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Riesgos de enfermedad (arts. 30 al 35)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caso de enfermedad no profesional o accidente que no sea del trabajo, el Instituto proporcionará a los asegurados (art. 30):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 Atención médico quirúrgica y dental, medicamentos y hospitalización, conforme a las normas que dispongan los reglamentos del Instituto;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atención por una misma enfermedad durará 26 semanas; este plazo se prolongará en los casos que acuerdan los reglamentos dictados por el Consejo de Administración, atendiendo a las posibilidades de recuperación de los enfermos o su estado de invalidez, si es pensionado;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Un subsidio en dinero a los asegurados activos sometidos a los tratamientos médicos, con reposo por enfermedad. El subsidio se iniciará a partir del día siguiente al de la incapacidad y durará mientras ésta subsista y el beneficiario continúe sometido a tratamiento por el</w:t>
      </w:r>
      <w:r w:rsidRPr="00EB097F">
        <w:rPr>
          <w:rFonts w:ascii="Arial" w:eastAsia="Times New Roman" w:hAnsi="Arial" w:cs="Arial"/>
          <w:color w:val="003399"/>
          <w:sz w:val="17"/>
          <w:szCs w:val="17"/>
          <w:lang w:eastAsia="es-AR"/>
        </w:rPr>
        <w:br/>
        <w:t xml:space="preserve">Instituto; y,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Provisión de aparatos de prótesis y ortopedia de acuerdo al reglamento que dicte el Consejo de Administración.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Según el art. 33, tendrán también derecho a los beneficios que señala en inciso a) del art. 30, las siguientes personas si viven con el asegurado y dependen económicamente de él, y si éste se encuentra al día en sus cuotas (art. 34):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esposa del asegurado, o a falta de ésta, la concubina con quien haya vivido durante los dos años anteriores a la enfermedad, y el esposo de la asegurada, en el caso de que el mismo se encuentre eventualmente desempleado;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Los hijos solteros del asegurado hasta que cumplan la mayoría de edad, y los incapacitados mientras dure la incapacidad, y los padres mayores de 60 años de edad que vivan bajo la protección del asegurado;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La esposa del jubilado, o a falta de ésta, la concubina con quien haya vivido durante los dos años anteriores a la enfermedad, los hijos hasta que cumplan la mayoría de edad y los incapacitados mientras dure la incapacidad. Tendrá también derecho el esposo de la jubilada, mayor de 60 años de edad, que se encuentra en situación de desempleo y sin protección de otro régimen asistencial.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Subsidio por enfermedad (art. 32)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subsidio por enfermedad equivaldrá al 50% del promedio de salarios sobre los cuales impuso el asegurado en los últimos cuatro meses anteriores al comienzo de la incapacidad.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salario promedio diario se determinará dividiendo el total de dichos salarios por ciento veinte y el subsidio cubrirá los días festivos intermedios de los períodos de incapacidad.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asegurado sin familiares que vivan con él y a su cargo, recibirá la mitad del valor del subsidio mientras permanezca hospitalizado por cuenta del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No se otorgan subsidios a los asegurados que tengan menos de seis semanas de cuotas correspondientes a trabajo efectivo dentro de los últimos cuatro meses.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Ley Nº 1286/87, en su art. 12 dice que cuando el asegurado, que se encuentre en la situación prevista en el art. 32 citado, no solicitare los beneficios que le corresponda, podrá su empleador recurrir al Instituto para que éste los otorgue de oficio.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Riesgo de maternidad (arts. 36 al 39)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aseguradas recibirán durante el embarazo, parto y puerperio, los beneficios del inciso a) del art. 30 (citado anteriormente), siempre que estén al día en sus cuotas.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mismos derechos tendrán las personas señaladas en el inciso a) del art. 33 (citado antes) sujetos a las condiciones fijadas.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asegurada recibirá, además, según el art. 38: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Un subsidio en dinero durante las tres semanas anteriores y las seis posteriores a la fecha del probable parto.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Provisión de leche para el hijo que no pueda amamantar por incapacidad constatada por médico, como máximo durante los ocho meses siguientes al parto.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Subsidio de maternidad; condiciones (arts. 38 y 39)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que la asegurada obtenga el subsidio de maternidad, es preciso: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 que esté al día en el pago de sus cuotas y que tenga como mínimo cuatro meses de aportes anteriores y seis semanas de cuotas correspondientes a trabajos efectivos en el curso de los citados meses; y </w:t>
      </w:r>
      <w:r w:rsidRPr="00EB097F">
        <w:rPr>
          <w:rFonts w:ascii="Arial" w:eastAsia="Times New Roman" w:hAnsi="Arial" w:cs="Arial"/>
          <w:color w:val="003399"/>
          <w:sz w:val="17"/>
          <w:szCs w:val="17"/>
          <w:lang w:eastAsia="es-AR"/>
        </w:rPr>
        <w:br/>
        <w:t>b) que no ejecute durante el período de reposo, labor remunerada o prohibida por disposición médica. La asegurada no podrá recibir simultáneamente un subsidio por enfermedad y otro por maternidad. En caso de que tenga derecho a ambos beneficios, la asegurada podrá optar</w:t>
      </w:r>
      <w:r w:rsidRPr="00EB097F">
        <w:rPr>
          <w:rFonts w:ascii="Arial" w:eastAsia="Times New Roman" w:hAnsi="Arial" w:cs="Arial"/>
          <w:color w:val="003399"/>
          <w:sz w:val="17"/>
          <w:szCs w:val="17"/>
          <w:lang w:eastAsia="es-AR"/>
        </w:rPr>
        <w:br/>
        <w:t>por el que más le convenga.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subsidio de maternidad se determina de la misma forma que el de enfermedad, pero no se reducirá a la mitad durante la permanencia en sanatorio y en el divisor 120 establecido en el art. 32 se descontarán tantas unidades como días haya estado la asegurada en reposo por prescripción médica, durante los cuatro últimos meses.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Riesgos profesionales (arts. 40 al 52)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Definición y alcance (art. 40): Para los efectos de esta ley, se consideran riesgos profesionales a los accidentes de trabajo y las enfermedades profesionales a que están expuestos los trabajadores a</w:t>
      </w:r>
      <w:r w:rsidRPr="00EB097F">
        <w:rPr>
          <w:rFonts w:ascii="Arial" w:eastAsia="Times New Roman" w:hAnsi="Arial" w:cs="Arial"/>
          <w:color w:val="003399"/>
          <w:sz w:val="17"/>
          <w:szCs w:val="17"/>
          <w:lang w:eastAsia="es-AR"/>
        </w:rPr>
        <w:br/>
        <w:t>causa de las labores que ejecutan por cuenta ajena.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Accidente de trabajo es toda lesión orgánica que el trabajador sufra con ocasión o por consecuencia del trabajo que ejecute para su patrón y durante el tiempo que lo realice o debiera realizarlo. Dicha lesión ha de ser producida por la acción repentina y violenta de una causa exterior.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Enfermedad profesional es todo estado patológico que sobreviene por una causa repetida por largo tiempo, como consecuencia de la clase de trabajo que desempeña el trabajador o del medio en que ejerce sus labores, y que provoca en el organismo una lesión o perturbación funcional, permanente o transitoria, pudiendo ser originada esta enfermedad por agentes físicos, químicos o biológicos.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los efectos de esta Ley, las enfermedades profesionales se consideran equiparadas a los accidentes del trabajo; en cada caso una comisión de tres médicos del Instituto determinará si se trata o no de una enfermedad profesional.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Prestaciones por accidentes del trabajo (art. 41)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caso de accidentes del trabajo, el asegurado tendrá derecho a las siguientes prestaciones: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atención médico-quirúrgica, dental, farmacéutica y hospitalización;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provisión de los aparatos de prótesis necesarios que permitan la restitución funcional próxima a la actividad física normal;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c) subsidio en dinero, si se incapacita para trabajar por más de tres días, en cuyo caso el subsidio se iniciará a partir del primer día de incapacidad, durará mientras ésta subsista y hasta por un plazo máximo de cincuenta y dos semanas, pero se le dará término antes de la expiración del plazo a partir de la fecha en que el Instituto declare la incapacidad permanente del asegurado; 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pensión de pago mensual vencido en caso de incapacidad permanente total o parcial, o una indemnización si la pensión, en el segundo caso, resultare inferior al 30% de la que habría correspondido al asegurado en el caso de incapacidad permanente total; la pensión se pagará desde que el Instituto declare la incapacidad permanente y mientras ésta subsista.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subsidio establecido en el inciso c) será equivalente al 75% del promedio de salarios sobre los cuales impuso el asegurado en los últimos cuatro meses (ver art. 42).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pensiones mensuales que establece el inciso d) serán equivalentes al 60% del porcentaje de incapacidad que fije la tabla valorativa de éstas, aplicada al salario mensual promedio de los tres años anteriores a la iniciación de la incapacidad (ver procedimiento para el cálculo en el art. 43).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indemnización que se otorgará en los casos que señala el inciso d) será igual a cinco anualidades de la pensión que hubiera correspondido al beneficiario.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tabla valorativa de incapacidades es fijada por Decreto del Poder Ejecutivo, previo informe del Consejo de Administración del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Fallecimiento por accidente de trabajo (art. 44)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caso de fallecimiento por accidente de trabajo el Instituto concederá:</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una cuota mortuoria equivalente a la cantidad que determinen los reglamentos dictados por el Consejo Superior (hoy Consejo de Administración) como necesaria para gastos funerales tipo económico, cantidad que será idéntica para todos los casos que se produzcan en una misma localidad y que se pagará a quien justifique haberse hecho cargo de dichos gastos;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una pensión vitalicia a la viuda o al viudo inválido, o en su caso a la concubina con quien haya vivido durante los dos años anteriores al accidente. La viuda que contrajere nuevas nupcias, cesará en el goce de la pensión y recibirá por una sola vez una suma global equivalente a tres anualidades de la misma;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una pensión a cada uno de los hijos solteros, hasta que cumplan 16 años, del asegurado varón fallecido y a los de la asegurada fallecida, si son huérfanos de padre o el padre es inválido o no hayan sido reconocidos por el padre. Tendrán también derecho a la pensión los hijos mayores de 16 años que se encuentren totalmente incapacitados para el trabajo y mientras la incapacidad</w:t>
      </w:r>
      <w:r w:rsidRPr="00EB097F">
        <w:rPr>
          <w:rFonts w:ascii="Arial" w:eastAsia="Times New Roman" w:hAnsi="Arial" w:cs="Arial"/>
          <w:color w:val="003399"/>
          <w:sz w:val="17"/>
          <w:szCs w:val="17"/>
          <w:lang w:eastAsia="es-AR"/>
        </w:rPr>
        <w:br/>
        <w:t>subsista; 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una pensión a la madre que hubiere vivido a cargo del causante, o a falta de ella, al padre incapacitado para el trabajo que cumpla igual requisito y mientras dure su incapacidad. Las pensiones a los ascendientes sólo se concederán si el fallecido no dejó viuda, viudo inválido ni huérfanos con derecho a las pensiones señaladas en los dos incisos anteriores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pensión del inciso b) será igual al 40% de la pensión que habría tenido el asegurado por incapacidad permanente total (art. 45).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pensiones de los incisos c) y d) serán iguales (cada una) al veinte por ciento (20%) de la pensión que habría tenido el causante por incapacidad permanente total (art. 46).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pensiones señaladas en los incisos b) y c) no podrán exceder en conjunto de las que habría tenido el causante por incapacidad total permanente; en caso de exceder se reducirán en la proporción necesaria para igualar ese límite; pero acrecerán también proporcionalmente a medida que los respectivos beneficiarios dejen de tener derecho a ellas (art. 47).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Importante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Según el art. 48, el Instituto concederá los beneficios de los arts. 41 y 42 (citados anteriormente), aunque el accidente se deba a negligencia o culpa grave del empleador, en cuyo caso deberá el empleador entregar al Instituto los capitales constitutivos de las pensiones y el valor de los otros beneficios que correspondan otorgar; igual procedimiento se aplicará en los casos de los trabajadores en que los derechos a beneficios virtualmente no existan por no haber cumplido el empleador su obligación de comunicar al Instituto la entrada de sus trabajadores (ver art. 3º, D.L.1860/50 modif. por L.427/73).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Si las prestaciones en dinero a que dan derecho los accidentes de trabajo resultaren disminuidos por falta de cumplimiento de las obligaciones patronales, el empleador deberá entregar al Instituto las diferencias de capitales constitutivas de pensiones y del valor de las otras prestaciones en dinero, y el Instituto las otorgará completas.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tablas de capitales constitutivos y valores de prestaciones en especie se fijarán periódicamente por Decretos del Poder Ejecutivo, previo informe del Consejo de Administración.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empleadores que dieren fiel cumplimiento a los deberes que les impone esta ley, quedan libres de cualquier responsabilidad derivada de los accidentes ocurridos a sus trabajadores, sin perjuicio de aplicar el artículo 48 (citado) si hay negligencia o culpa grave del patrón. (Nota: esta disposición es de gran importancia pues exime de responsabilidad de accidentes de trabajo de los trabajadores a los patrones que hayan inscripto a sus trabajadores en el seguro del IPS y que estén al día en sus aportes. Esta disposición supera a muchas existentes en otras partes de Latinoamérica, pues evita a los empleadores todos los conflictos civiles y laborales que se suscitan a raíz de los accidentes de trabajo, si es que cumplen todas las obligaciones que las leyes de seguridad social les imponen, y también otorga seguridad al trabajador en la pronta atención al daño sufrido y la garantía del pago de los subsidios o indemnizaciones en su caso).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Prevención de accidentes (art. 50)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Instituto debe procurar la adopción de medidas que tiendan a prevenir los accidentes de trabajo. Los empleadores están obligados a colaborar con él en dicho objetivo y a implantar aquellas medidas de seguridad que el Instituto y otras dependencias del Estado juzguen indispensables. La</w:t>
      </w:r>
      <w:r w:rsidRPr="00EB097F">
        <w:rPr>
          <w:rFonts w:ascii="Arial" w:eastAsia="Times New Roman" w:hAnsi="Arial" w:cs="Arial"/>
          <w:color w:val="003399"/>
          <w:sz w:val="17"/>
          <w:szCs w:val="17"/>
          <w:lang w:eastAsia="es-AR"/>
        </w:rPr>
        <w:br/>
        <w:t>falta de cumplimiento de esta obligación se considera como negligencia o culpa grave prevista en el art. 48.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Obligación del empleador de dar aviso al Instituto (art. 52)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Otra obligación importante del empleador es la de denunciar al Instituto cualquier accidente que ocurra a sus trabajadores dentro de los ocho días de producido salvo caso de fuerza mayor debidamente justificado.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Prestaciones al servicio doméstico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Ley Nº 1286/87 extendió el seguro social del personal de servicio doméstico a su grupo familiar, en los riesgos de enfermedad, maternidad y accidente, conforme a lo previsto en la Ley Nº 375/56 y sus modificaciones.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Riesgo de invalidez por enfermedad (arts. 53 al 58)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Definición de invalidez (art. 53)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considera inválido al asegurado que a consecuencia de enfermedad no profesional, o de senilidad o vejez prematura, o accidente que no sea del trabajo, se encuentre incapacitado para procurarse mediante una labor proporcionada a sus fuerzas, capacidad y formación profesional, una remuneración equivalente por lo menos a un tercio de la remuneración habitual, que percibe un trabajador sano del mismo sexo y de capacidad y formación semejantes, en la misma región.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Requisitos para otorgamiento de pensiones (art. 54):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Tendrán derecho a una pensión de invalidez los asegurados que reúnan los siguientes requisitos: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sean declarados inválidos de acuerdo con la definición del artículo 53, por una comisión de tres médicos del Instituto, designados especialmente para este efecto;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tenga por lo menos ciento cincuenta semanas de cuotas y menos de cincuenta y cinco años de edad al sobrevenir la invalidez, o de ciento cincuenta a doscientos cincuenta semanas de cuotas y menos de sesenta años, o de doscientos cincuenta a cuatrocientas semanas de cuotas y menos de sesenta y cinco años.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se concederá pensión de invalidez si la realización del riesgo es consecuencia de un hecho voluntario o delictuoso del asegurado (art. 55).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Carácter provisorio o definitivo de la pensión. Exámenes periódicos (art. 56)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pensiones de invalidez se concederán en carácter de provisorios por un lapso no mayor de cinco años, durante el cual los beneficiarios</w:t>
      </w:r>
      <w:r w:rsidRPr="00EB097F">
        <w:rPr>
          <w:rFonts w:ascii="Arial" w:eastAsia="Times New Roman" w:hAnsi="Arial" w:cs="Arial"/>
          <w:color w:val="003399"/>
          <w:sz w:val="17"/>
          <w:szCs w:val="17"/>
          <w:lang w:eastAsia="es-AR"/>
        </w:rPr>
        <w:br/>
        <w:t>estarán obligados a someterse a los exámenes y tratamientos médicos que se le indique; y en carácter de definitivas en cualquier momento y en todo caso a la expiración del lapso de cinco años a condición de que la invalidez sea permanente.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El beneficiario menor de sesenta años que recupere más del 50% de la capacidad de trabajo, dejará de percibir la pensión de invalidez, pero el Instituto podrá continuar pagándola hasta por seis meses si con ello facilita la readaptación del asegurado al trabajo.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Instituto podrá efectuar hasta una vez al año los exámenes que tengan por objeto comprobar el grado de incapacidad subsistente, si el beneficiario goza de pensión definitiva y éste quedará obligado a someterse a los tratamientos médicos que se le prescriban.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Forma de pago de la pensión de invalidez (art. 57)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pensiones de invalidez se pagarán por mensualidades vencidas que se computarán desde el comienzo del estado de invalidez o desde la fecha en que se solicite el beneficio si éste es posterior. Sin embargo, el Instituto podrá retrasar el período de iniciación del pago mientras el asegurado tenga derecho a recibir subsidio por enfermedad. (Nota: para cálculo, ver artículo 58).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Prestaciones por muerte (art. 65, modif. por L. 98/92)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caso de muerte de un asegurado el Instituto concederá las siguientes prestaciones: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Cuando el asegurado fallecido tuviere menos de 750 semanas de aportes, se le otorgará a sus herederos o beneficiarios, un subsidio en dinero por una sola vez equivalente a un mes de salario por cada año de antigüedad que tuviere el asegurado. Se tomará como base el salario mínimo legal y el pago se realizará en la proporción establecida en el art. 62 de esta ley (que veremos más adelante).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Si no existiere heredero o beneficiario, se abonará a quien o quienes justifiquen haber realizado los gastos fúnebres correspondientes, hasta un monto equivalente a 75 jornales mínimos establecidos para actividades diversas no especificadas de la Capital. Cuando posteriormente apareciera algún heredero o beneficiario, el monto de los gastos se descontará de la pensión o del subsidio en su caso.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JUBILACIONES a cargo del I.P.S. (arts 59 y ss, D.L. 1860/50; y, Ley Nº 430/73; ambos modificados por Ley Nº 98/92, que establece el régimen unificado de jubilaciones y pensiones)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Instituto concederá al asegurado las siguientes jubilaciones: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Ordinaria;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Invalidez por enfermedad común;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Invalidez por accidente de trabajo o enfermedad profesional.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Tendrá derecho a la jubilación ordinaria, el asegurado que haya cumplido sesenta años de edad y tenga veinticinco años como mínimo de servicios reconocidos, debiendo corresponderle el 100% del promedio de los salarios de los 36 últimos meses anteriores al último aporte, o 55 años de edad y 30 años como mínimo de servicios reconocidos, debiendo corresponderle el 80% del promedio de salarios de los 36 últimos meses anteriores al último salario. Este porcentaje aumentará a razón del 4% por cada año que sobrepasa los 55 años de edad, en el momento de solicitarlo hasta los 59 años de edad (art. 60).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jubilación mensual de invalidez por enfermedad común se compondrá de un monto base, igual al 50% del salario mensual promedio de los 36 últimos meses anteriores a la declaración de invalidez, y de aumentos que ascenderán al 1,5% de dicho monto, por cada 50 semanas de cuotas que sobrepasen las 150 semanas de aportes, hasta totalizar el 100%. En caso de existir períodos en los que el asegurado haya recibido dentro de los 36 meses citados, subsidios o jubilación de invalidez temporal, se computarán como salarios los promedios de los mismos que sirvieron de base para el cálculo de dicho subsidio o jubilación. El derecho de jubilación por invalidez se adquirirá cuando el asegurado reúna los requisitos del art. 54 (citado anteriormente -examen médico).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jubilación por invalidez causada por accidente de trabajo o enfermedad profesional, se determinará conforme a la tabla valorativa de incapacidades (fijada por el Consejo de Administración), la tabla de porcentajes de jubilación (art. 61, L. 98/92), y al salario mensual promedio de los 36 meses anteriores a la iniciación de la incapacidad. Si el accidente ocurrió antes de que el asegurado haya percibido salario alguno, la jubilación se calculará sobre la base del salario mínimo legal vigente en el momento para actividades diversas no especificadas de la Capital. En el caso de que el asegurado haya percibido salario por un tiempo menor de 36 meses, se le computarán los faltantes con las equivalencias correspondientes de acuerdo con los salarios mínimos legales.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El monto máximo de cualquier jubilación mensual, en el momento de la liquidación inicial, no debe sobrepasar el equivalente a 300 jornales mínimos para actividades diversas no especificadas de la Capital (art. 6º L.1286/87, </w:t>
      </w:r>
      <w:r w:rsidRPr="00EB097F">
        <w:rPr>
          <w:rFonts w:ascii="Arial" w:eastAsia="Times New Roman" w:hAnsi="Arial" w:cs="Arial"/>
          <w:color w:val="003399"/>
          <w:sz w:val="17"/>
          <w:szCs w:val="17"/>
          <w:lang w:eastAsia="es-AR"/>
        </w:rPr>
        <w:lastRenderedPageBreak/>
        <w:t>modif. por art. 3º L.98/92).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Pensiones por fallecimiento (arts. 62 al 64,D.L. 1860/50; modif. por L.98/92)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caso de fallecimiento de un jubilado, o de un asegurado activo, que hubiera adquirido derechos a una jubilación, o que acreditare un mínimo de 750 semanas de aportes sin tener la edad mínima requerida para su jubilación, o que fallezca a consecuencia de un accidente de trabajo o enfermedad profesional, los familiares sobrevivientes tendrán derechos a percibir en concepto de pensión el 60% del importe de la jubilación que disfrutaba o que le hubiera correspondido al causante, en orden excluyente: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viuda o concubina o viudo, en concurrencia con los hijos solteros hasta la mayoría de edad, y los incapacitados y declarados tales por una Junta Médica del Instituto, en cuyo caso la mitad de la pensión corresponderá a la viuda o concubina o viudo, y la otra mitad a los citados hijos por partes iguales;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A la viuda o concubina o viudo menor de 40 años de edad, le corresponderá una indemnización equivalente a 3 anualidades de la pensión que le hubiera correspondido;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Los hijos huérfanos hasta la mayoría de edad; los incapacitados y declarados tales por una Junta Médica del Instituto, por partes iguales la totalidad de la pensión;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Los padres, siempre que hayan vivido bajo la protección del causante, en partes iguales. De sobrevivir uno de ellos recibirá la totalidad de la pensión.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pensiones indicadas en los incisos a) y c), acrecen proporcionalmente a medida que los beneficiarios dejen de tener derecho a ellos.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derecho de percibir la pensión se adquiere desde la fecha del fallecimiento del asegurado y se extinguirá si la viuda o concubina o viudo, contrae nuevas nupcias o viviere en concubinato; recibirán en tales casos por una única vez la suma equivalente a dos anualidades de la pensión.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pensión a los hijos incapacitados se pagará mientras dure la incapacidad de los mismos.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que la concubina tenga derecho a la pensión debe haber vivido en relación de pública notoriedad, como mínimo durante dos años si tuvieron hijos comunes, y cinco años si no los tuvieren, y además estar inscripta en los registros del Instituto antes del fallecimiento del asegurado.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Conclusión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Creemos que el sistema de seguridad social de nuestro país es sumamente interesante y responde plenamente al principio de solidaridad que debe regir en este tipo de instituciones.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no podemos negar que existen graves problemas que afectan a la puesta en práctica de este sistema, algunos de los cuales citaremos a continuación: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el destino de fondos a inversiones poco rentables;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la falta de pago del aporte estatal. El Estado debe este aporte al I.P.S. desde su creación (hace más de cincuenta años). Sólo con este aporte se podrían cubrir innumerables déficits y mejorar las</w:t>
      </w:r>
      <w:r w:rsidRPr="00EB097F">
        <w:rPr>
          <w:rFonts w:ascii="Arial" w:eastAsia="Times New Roman" w:hAnsi="Arial" w:cs="Arial"/>
          <w:color w:val="003399"/>
          <w:sz w:val="17"/>
          <w:szCs w:val="17"/>
          <w:lang w:eastAsia="es-AR"/>
        </w:rPr>
        <w:br/>
        <w:t>prestaciones (ya que van estos aportes al fondo de imprevistos o al de jubilaciones y pensiones como vimos en los arts. 23 y 24);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la excesiva burocratización en lugar de una organización dinámica y eficaz;</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la tremenda corrupción (de sus autoridades, funcionarios, médicos y auxiliares, asegurados, etc.) imperante en épocas anteriores, y aún en la actualidad, con graves secuelas en el presente y en las generaciones venideras.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Todos estos problemas, y aun otros exigen un urgente saneamiento, pues son sumamente graves. Pero no puede llegarse al extremo de que por estos motivos se crea que la solución sería la privatización de este servicio.</w:t>
      </w:r>
      <w:r w:rsidRPr="00EB097F">
        <w:rPr>
          <w:rFonts w:ascii="Arial" w:eastAsia="Times New Roman" w:hAnsi="Arial" w:cs="Arial"/>
          <w:color w:val="003399"/>
          <w:sz w:val="17"/>
          <w:szCs w:val="17"/>
          <w:lang w:eastAsia="es-AR"/>
        </w:rPr>
        <w:br/>
        <w:t>Creemos que la función social que cumple este Instituto nunca será alcanzada y menos superada por una institución privada; y si sus servicios más importantes se privatizan las consecuencias podrían ser peores.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sistema de seguridad social en nuestro país tiene más luces que sombras, como sistema en sí. Tengo el convencimiento de que el problema más que en el sistema está en las personas. Estas leyes (que plasman enormemente el principio de la solidaridad) son imposibles de ser cumplidas no por su forma o esencia sino porque las personas no quieren cumplirlas.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BIBLIOGRAFÍA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Adolfo Aguirre Bayley. 'La seguridad social, orígenes y evolución'.</w:t>
      </w:r>
      <w:r w:rsidRPr="00EB097F">
        <w:rPr>
          <w:rFonts w:ascii="Arial" w:eastAsia="Times New Roman" w:hAnsi="Arial" w:cs="Arial"/>
          <w:color w:val="003399"/>
          <w:sz w:val="17"/>
          <w:szCs w:val="17"/>
          <w:lang w:eastAsia="es-AR"/>
        </w:rPr>
        <w:br/>
        <w:t>Revista I.P.S. Año 1, Nº 8. Asunción. Noviembre de 1993.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Reinaldo Irala Amarilla. 'Solidaridad, base de la seguridad social'.</w:t>
      </w:r>
      <w:r w:rsidRPr="00EB097F">
        <w:rPr>
          <w:rFonts w:ascii="Arial" w:eastAsia="Times New Roman" w:hAnsi="Arial" w:cs="Arial"/>
          <w:color w:val="003399"/>
          <w:sz w:val="17"/>
          <w:szCs w:val="17"/>
          <w:lang w:eastAsia="es-AR"/>
        </w:rPr>
        <w:br/>
        <w:t>Revista I.P.S. Año 1, Nº 8. Asunción. Noviembre de 1993.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Francisco de Ferrari. 'Los principios de la Seguridad Social'. Ed.</w:t>
      </w:r>
      <w:r w:rsidRPr="00EB097F">
        <w:rPr>
          <w:rFonts w:ascii="Arial" w:eastAsia="Times New Roman" w:hAnsi="Arial" w:cs="Arial"/>
          <w:color w:val="003399"/>
          <w:sz w:val="17"/>
          <w:szCs w:val="17"/>
          <w:lang w:eastAsia="es-AR"/>
        </w:rPr>
        <w:br/>
        <w:t>Depalma. Buenos Aires. 1972.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Jorge D. Cristaldo y José Kriskovich P. 'Derecho de la Seguridad</w:t>
      </w:r>
      <w:r w:rsidRPr="00EB097F">
        <w:rPr>
          <w:rFonts w:ascii="Arial" w:eastAsia="Times New Roman" w:hAnsi="Arial" w:cs="Arial"/>
          <w:color w:val="003399"/>
          <w:sz w:val="17"/>
          <w:szCs w:val="17"/>
          <w:lang w:eastAsia="es-AR"/>
        </w:rPr>
        <w:br/>
        <w:t>Social: Rama nueva, diferenciada y autónoma de las ciencias jurídicas'.</w:t>
      </w:r>
      <w:r w:rsidRPr="00EB097F">
        <w:rPr>
          <w:rFonts w:ascii="Arial" w:eastAsia="Times New Roman" w:hAnsi="Arial" w:cs="Arial"/>
          <w:color w:val="003399"/>
          <w:sz w:val="17"/>
          <w:szCs w:val="17"/>
          <w:lang w:eastAsia="es-AR"/>
        </w:rPr>
        <w:br/>
        <w:t>Separata 3. Revista Derecho Social del Instituto Paraguayo de Derecho</w:t>
      </w:r>
      <w:r w:rsidRPr="00EB097F">
        <w:rPr>
          <w:rFonts w:ascii="Arial" w:eastAsia="Times New Roman" w:hAnsi="Arial" w:cs="Arial"/>
          <w:color w:val="003399"/>
          <w:sz w:val="17"/>
          <w:szCs w:val="17"/>
          <w:lang w:eastAsia="es-AR"/>
        </w:rPr>
        <w:br/>
        <w:t>del Trabajo. Asunción. 1983.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Luis P. Frescura y Candia. 'Derecho Paraguayo del Trabajo y de la</w:t>
      </w:r>
      <w:r w:rsidRPr="00EB097F">
        <w:rPr>
          <w:rFonts w:ascii="Arial" w:eastAsia="Times New Roman" w:hAnsi="Arial" w:cs="Arial"/>
          <w:color w:val="003399"/>
          <w:sz w:val="17"/>
          <w:szCs w:val="17"/>
          <w:lang w:eastAsia="es-AR"/>
        </w:rPr>
        <w:br/>
        <w:t>Seguridad Social'. Ed. Heliasta. Bs.As. 1974.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 Instituto de Previsión Social. 'Disposiciones legales vigentes sobre</w:t>
      </w:r>
      <w:r w:rsidRPr="00EB097F">
        <w:rPr>
          <w:rFonts w:ascii="Arial" w:eastAsia="Times New Roman" w:hAnsi="Arial" w:cs="Arial"/>
          <w:color w:val="003399"/>
          <w:sz w:val="17"/>
          <w:szCs w:val="17"/>
          <w:lang w:eastAsia="es-AR"/>
        </w:rPr>
        <w:br/>
        <w:t>el seguro social' . Folleto Nº 34. Asunción. 1988.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7) Ley Nº 98 del 31 de diciembre de 1992.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9" w:name="9"/>
            <w:bookmarkEnd w:id="9"/>
            <w:r w:rsidRPr="00EB097F">
              <w:rPr>
                <w:rFonts w:ascii="Arial" w:eastAsia="Times New Roman" w:hAnsi="Arial" w:cs="Arial"/>
                <w:b/>
                <w:bCs/>
                <w:color w:val="009933"/>
                <w:sz w:val="20"/>
                <w:szCs w:val="20"/>
                <w:lang w:eastAsia="es-AR"/>
              </w:rPr>
              <w:t>"IMPACTOS DE LA CONSTITUCIÓN DE 1992 EN EL ÁMBITO CULTURAL ANÁLISIS DE LA EFICACIA CONSTITUCIONAL, A DOS AÑOS DE SU PROMULGACIÓN, DESDE LA ÓPTICA CULTURAL"</w:t>
            </w:r>
            <w:r w:rsidRPr="00EB097F">
              <w:rPr>
                <w:rFonts w:ascii="Arial" w:eastAsia="Times New Roman" w:hAnsi="Arial" w:cs="Arial"/>
                <w:color w:val="003399"/>
                <w:sz w:val="17"/>
                <w:szCs w:val="17"/>
                <w:lang w:eastAsia="es-AR"/>
              </w:rPr>
              <w:br/>
              <w:t>Rafael Dendia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Sociología, Realidad Educacional y Universitaria</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4" w:anchor="arriba" w:history="1">
              <w:r w:rsidRPr="00EB097F">
                <w:rPr>
                  <w:rFonts w:ascii="Arial" w:eastAsia="Times New Roman" w:hAnsi="Arial" w:cs="Arial"/>
                  <w:i/>
                  <w:iCs/>
                  <w:color w:val="003399"/>
                  <w:sz w:val="17"/>
                  <w:szCs w:val="17"/>
                  <w:lang w:eastAsia="es-AR"/>
                </w:rPr>
                <w:t>volver arriba</w:t>
              </w:r>
            </w:hyperlink>
            <w:r w:rsidRPr="00EB097F">
              <w:rPr>
                <w:rFonts w:ascii="Arial" w:eastAsia="Times New Roman" w:hAnsi="Arial" w:cs="Arial"/>
                <w:i/>
                <w:iCs/>
                <w:color w:val="003399"/>
                <w:sz w:val="17"/>
                <w:szCs w:val="17"/>
                <w:lang w:eastAsia="es-AR"/>
              </w:rPr>
              <w:t xml:space="preserve">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Introducción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vigencia constitucional ha significado para nosotros una realidad llena de azares y quebrantos, reflejo de lo sufrido en el largo y doloroso proceso político de los últimos decenios de nuestra historia.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Mientras las cátedras de Instrucción Cívica en las escuelas o de Derecho Constitucional en la Universidad enseñaban los principios y normas constitucionales, se quebrantaban impunemente los derechos y las garantías consagrados en los mismos, con la consecuencia de desmontar irremisiblemente la confianza depositada en el sistema jurídico, como referencia del relacionamiento social.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proscripción del conocimiento y la inseguridad jurídica, salvo para aquellos de lealtad clientelar, lograron romper en nuestro país todo interés en tomar siquiera información sobre los parámetros de constitucionalidad en el actuar de los poderes del Estado.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Pocas son las personas, aun entre los juristas y con más razón entre el pueblo en general, que se ocuparon seriamente del estudio y conocimiento de las normas constitucionales.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Constitución del 20 de junio de 1992 se inscribe entre los logros del llamado proceso de democratización o transición a la democracia, iniciado en 1989.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La ciudadanía en general tenía claridad sobre la necesidad de reivindicar la vigencia constitucional, como primera condicionante para la democratización. Así se desprende de las opiniones recogidas por diversos medios y de diversas formas, en los meses posteriores al golpe.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Durante las décadas de la autocracia, vivíamos francamente desconstitucionalizados; teníamos una constitución cuyas disposiciones caducaban frente a la voluntad omnímoda del dictador.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Hoy cobra valor la conciencia de recuperación de la constitucionalidad, o simplemente de su conquista. La constitución es real o potencialmente la ordenadora del derecho en el país.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partir de la nueva Constitución, los paraguayos volvemos a interesarnos en nuestros derechos constitucionales, las leyes que en su consecuencia se dicten o deban dictarse y las obligaciones del Estado y sus funcionarios.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Algunos de los indicadores de esta transformación en las convicciones: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La elección y control popular de los gobernantes, con sus falencias y altibajos, constituyen una realidad en la que creemos y nos esforzamos por efectivizar y perfeccionar.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Nadie duda, por ejemplo, que en 1996 elegiremos autoridades municipales o que en 1998 votaremos al nuevo presidente. Si existen dudas, se basan en cuestiones meramente coyunturales, como la que ahora nos plantea la crisis a propósito de la conformación del Consejo de la Magistratura y el retraso consecuente de la renovación del Poder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La alternabilidad en los cargos ejecutivos ?Presidente de la República, Gobernador o Intendente? es también otra cuestión fuera de dudas, así como que tampoco se aceptará ya la existencia de hombres providenciales. La no reelección es uno de los puntales de esta convicción. Hoy repudiamos la idea de una enmienda constitucional al estilo argentino.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La práctica de guardar en secreto los actos del gobierno, tan frecuente en nuestro reciente pasado, ha sido reemplazada por una creciente exigencia de publicidad de cuanto se realice a nivel de los tres poderes, e incluso, de los organismos extra-poder. Se conocen los actos del gobierno y se los critica. El funcionario público ha dejado de ser el intocable mandón, para convertirse en alguien que debe responder del modo en que ejerce sus funciones. El ciudadano común exige frecuentemente al servidor del Estado el correcto desempeño de sus funciones y éste, a su vez, ve sensiblemente disminuida sus prerrogativas. El uso discrecional de los bienes del Estado resulta ya de difícil impunidad.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La oposición tiene la posibilidad de movilizar la opinión pública contra abusos concretos del gobierno.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Comisión de Investigación de Ilícitos del Congreso recoge y transmite a la opinión pública determinadas conductas, con lo que se ven sensiblemente disminuidas las prerrogativas de los servidores del Estado, otrora incuestionadas.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 bien es cierto, el Congreso no puede obligar a dimitir a un Ministro, puede manifestarle su desconfianza, que, aunque no tenga eficacia jurídica, puede tener consecuencias políticas. De hecho, se utiliza este modo de control.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Hasta el más sencillo de nuestros conciudadanos exige informaciones y calidad de las mismas, tiene conciencia de sus falencias como receptora y emisora de conocimientos y de la necesidad de superar sus niveles muy bajos de alfabetización.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Más que nunca se comparte la convicción de la necesidad de replantear integralmente la educación, de que vivir de una manera efectiva significa poseer la información adecuada.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 Finalmente, el principio de la supremacía constitucional va tomando estado público, hay conciencia de que el ordenamiento jurídico deberá ajustarse irremediablemente a la Constitución, como así las decisiones judiciales y los actos del gobierno. De lo contrario el pueblo, ejerciendo el derecho al control popular de los actos públicos, podrá llegar al juicio político.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marcos generales del cambio político-cultural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Nuestra nueva Constitución se traza una primera línea de respeto a la conciencia, reconociendo la libertad religiosa, la de culto y la ideológica y prohibiendo molestar o indagar en estos ámbitos. De hecho ya no existe clandestinidad de partidos políticos ni las limitaciones informativas por razones ideológicas, el ciudadano ha reivindicado de inmediato sus derechos en estos ámbitos.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Una de las aplicaciones más contundentes del derecho a la libertad es la objeción de conciencia, reconocida por razones éticas o religiosas, en favor de quienes se opongan al servicio militar obligatorio. Este derecho novedoso, aún no reglamentado legislativamente, ya ha sido invocado por algunos jóvenes ante la justicia ordinaria, como demostración fehaciente de la voluntad de práctica.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personalidad y la creatividad se expresan libremente, de tal suerte que cada uno pueda forjar su propia identidad y convivir con los demás, dentro de mutuo respeto. Es el pluralismo, que muchos de nosotros no conocían en el pasado reciente.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personas tienen derecho de recibir información sin limitación y, si las fuentes son públicas, serán de acceso igualitario a todos los sectores sociales y políticos, de manera democrática y pluralista. Los emisores de las informaciones son responsables por su contenido y veracidad.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Además de estos derechos, la Constitución adopta otro de los así llamados derechos humanos de la tercera generación: consagra el derecho individual y colectivo de reclamar a la autoridad pública la defensa del ambiente, la salud pública, el acervo cultural nacional y los demás intereses difusos que hagan relación con la calidad de vida y el patrimonio colectivo.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Valores culturales asumidos en la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Constitución es un pacto político, pero previamente un producto cultural. En la medida en que la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Asamblea Constituyente respeta su mandato y es fiel a lo que la doctrina reconoce como 'constitución social', la Constitución reflejará, en sus instituciones, el contenido del sustrato social y cultural de la comunidad. En ese sentido, podemos hablar también de algunos de los valores culturales subyacentes en la Constitución o los impactos culturales en la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familia, como fundamento de la sociedad, se cimenta en la unión estable entre el hombre y la mujer, consagra de esta forma la bisexualidad de las relaciones conyugales, aunque una vez habido hijos, éstos y un progenitor conforman también familia. Esta bisexualidad de la unión matrimonial es la que, precisamente, por estos días nos recuerdan los obispos, como parte integrante de nuestro universo cristiano tradicional.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Otro hecho cultural recogido por la Constitución es el reconocimiento de la existencia de comunidades que pueblan el territorio nacional, anteriores a la formación del Estado paraguayo. Los mismos tienen un status cultural propio, que podrán preservar y desarrollar a la vez que organizarse, conforme a sus propios valores políticos, sociales, económicos y religiosos, pero respetando los principios fundamentales de la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 relación a los pueblos indígenas, hay además una serie de disposiciones programáticas, tales como defensa de su posible regresión demográfica o alienación cultural.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enseñanza en el idioma materno es otra sentida necesidad recogida por la Constitución y que de inmediato busca implementar la reforma educativa.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 capítulo dedica especialmente la Constitución al tema de los derechos a la educación y la cultura, como que la misma refleja las aspiraciones más profundas de la sociedad.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contenido programático del Art. 73 se orienta al pleno desarrollo de la personalidad humana mediante la promoción de la libertad, la paz, la justicia social, la solidaridad, cooperación y respeto a los derechos humanos. Los fines permanentes del sistema educativo se cifran en la erradicación del analfabetismo, la formación intelectual, moral y cívica de la población. El respeto a los principios democráticos y la afirmación del compromiso con la patria constituyen otros aspectos de la teleología aquí expuesta.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derecho a aprender y la libertad de enseñar, sin discriminaciones, están también garantizados en esta Constitución, correspondiendo la responsabilidad educativa a la familia, el Municipio y el Estado, por su orden.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capítulo correspondiente a la familia instituye, en derecho y obligación de los padres, la educación de los hijos, y el Estado se obliga a organizar un sistema educativo gratuito en las escuelas públicas y fomentar la enseñanza media, técnica, agropecuaria, industrial y la universitaria. Dentro de este sistema educativo, dará participación a las comunidades privadas y públicas.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El 20% del Presupuesto General de la Nación asignado como mínimo a la educación, deja entrever esperanzas de resultados positivos hacia el cumplimiento de las metas educativas señaladas más arriba. Por de pronto, existen informaciones de que los materiales a imprimir o ya impresos, dentro del Programa </w:t>
            </w:r>
            <w:r w:rsidRPr="00EB097F">
              <w:rPr>
                <w:rFonts w:ascii="Arial" w:eastAsia="Times New Roman" w:hAnsi="Arial" w:cs="Arial"/>
                <w:color w:val="003399"/>
                <w:sz w:val="17"/>
                <w:szCs w:val="17"/>
                <w:lang w:eastAsia="es-AR"/>
              </w:rPr>
              <w:lastRenderedPageBreak/>
              <w:t>de Reforma Educativa, serán repartidos gratuitamente ?como lo prescribe el Art. 75, 2ª Parte de la Constitución? entre los escolares de escasos recursos.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Constitución consagra la independencia de poderes y concede al poder jurisdiccional un papel fundamental. Se esmera en organizar mecanismos tendientes a asegurar esa independencia, tales como el Consejo de la Magistratura, la inamovilidad de los Magistrados, el control de constitucionalidad, etc. Lastimosamente, en este aspecto, no podemos tener el mismo optimismo, la dirigencia política, con su poder aún muy influyente en el Poder Judicial, traba el desarrollo del proceso, específicamente en la recomposición de este ámbito tan importante de la función del poder y retrasa la recuperación democrática.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Así las cosas, y del análisis precedente, podemos afirmar que grandes son los logros de la Constitución en el ámbito cultural, las actitudes democráticas se multiplican, pero hay bolsones retardatarios aún muy firmes, y, lo más grave, anclados en el propio Poder Judicial, donde los juegos y negociaciones políticas se hacen difíciles.</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0" w:name="10"/>
            <w:bookmarkEnd w:id="10"/>
            <w:r w:rsidRPr="00EB097F">
              <w:rPr>
                <w:rFonts w:ascii="Arial" w:eastAsia="Times New Roman" w:hAnsi="Arial" w:cs="Arial"/>
                <w:b/>
                <w:bCs/>
                <w:color w:val="009933"/>
                <w:sz w:val="20"/>
                <w:szCs w:val="20"/>
                <w:lang w:eastAsia="es-AR"/>
              </w:rPr>
              <w:t>"INFORMATICA VS. DERECHOS HUMANOS ¿PROTECCION JURIDICA PARA LA INFORMACION O PARA EL SER HUMANO?"</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Gloria Alice Cartes Blanco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Derechos Humanos e Internacional Humanitario</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5" w:anchor="arriba" w:history="1">
              <w:r w:rsidRPr="00EB097F">
                <w:rPr>
                  <w:rFonts w:ascii="Arial" w:eastAsia="Times New Roman" w:hAnsi="Arial" w:cs="Arial"/>
                  <w:i/>
                  <w:iCs/>
                  <w:color w:val="003399"/>
                  <w:sz w:val="17"/>
                  <w:szCs w:val="17"/>
                  <w:lang w:eastAsia="es-AR"/>
                </w:rPr>
                <w:t>volver arriba</w:t>
              </w:r>
            </w:hyperlink>
            <w:r w:rsidRPr="00EB097F">
              <w:rPr>
                <w:rFonts w:ascii="Arial" w:eastAsia="Times New Roman" w:hAnsi="Arial" w:cs="Arial"/>
                <w:i/>
                <w:iCs/>
                <w:color w:val="003399"/>
                <w:sz w:val="17"/>
                <w:szCs w:val="17"/>
                <w:lang w:eastAsia="es-AR"/>
              </w:rPr>
              <w:t xml:space="preserve">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La protección del derecho a la privacidad, a la intimidad y de otros derechos básicos del hombre se encuentra en la actualidad afectada por el elevado desarrollo de la Informática, en lo referente a nuevas tecnologías aplicadas para el procesamiento y registro de datos personales.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regulación jurídica otorgada por la mayoría de los Estados a los derechos fundamentales, concede garantías al ciudadano, reconociéndole una serie de facultades de actuación dentro de la sociedad. Principio establecido para asegurar que los derechos inherentes al ser humano no puedan ser restringidos o menoscabados por terceros, ya sean éstos particulares o agentes estatales.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las sociedades modernas e informatizadas, los Estados han concebido un nuevo orden de control; la posibilidad, muchas veces ilimitada, de disponer informaciones que permiten controlar, influir, alterar los actos humanos; haciéndose innecesario recurrir a medios coactivos para ello.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indudable que la libertad personal, que consagra innumerables derechos subjetivos para el ser humano, se ha visto, a pesar de los intentos de establecer para ella una adecuada protección legal condicionada directamente al acceso de información que pueda tener el ente estatal, a través de sus órganos correspondientes en las diversas áreas que aquella pueda abarcar: social, política, religiosa y hasta moral. El almacenamiento de informaciones (ya sea en registros manuales o computarizados) por organismos públicos o privados puede ocasionar un atentado directo al derecho a la privacidad, facultando además a terceros a disponer sobre la información que ellos consideren útil o precisa respondiendo a intereses políticos, sociales y económicos.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establece así una marcada diferenciación en las posibilidades de acceso a la información, sin dejar de mencionar la importante fuerza de poder que representa para el organismo que almacena los datos, sobre éstos y sobre las personas afectadas.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protección de la información, correctamente entendida, representa un importante criterio de </w:t>
            </w:r>
            <w:r w:rsidRPr="00EB097F">
              <w:rPr>
                <w:rFonts w:ascii="Arial" w:eastAsia="Times New Roman" w:hAnsi="Arial" w:cs="Arial"/>
                <w:color w:val="003399"/>
                <w:sz w:val="17"/>
                <w:szCs w:val="17"/>
                <w:lang w:eastAsia="es-AR"/>
              </w:rPr>
              <w:lastRenderedPageBreak/>
              <w:t>legitimación política de los sistemas democráticos, pues constituye una garantía fundamental concedida para todas las comunidades de seres iguales y libres. La expresión protección de datos (traducción del término inglés data protection y germano datenschutz) hace referencia al conjunto de bienes o intereses que pueden ser afectados por la elaboración de informaciones referentes a personas identificadas o identificables.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la afirmación precedentemente citada puede adquirir matices de confusión, debido a que podría entenderse que el objeto de protección es el dato o la información. Se debe precisar que los seres humanos son los que deben gozar de una protección, a través del reconocimiento de sus derechos y libertades más elementales, por medio de disposiciones legales que regulen la seguridad de los datos, y todo lo referente a manipulación, registro y control; pero en ningún caso permitir que los datos por sí mismos constituyan la causa de dicha protección.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Derecho a la privacidad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expresión privacy tiene sus orígenes en la doctrina norteamericana. Un magistrado la definió en 1888 como el derecho a ser dejado solo. Dicha conceptualización fue en primer término aceptada, pero posteriormente cuestionada debido al alcance individualista con el que se pretendía enfocarla; por eso, la jurisprudencia de los EE.UU. consideró conveniente ampliar el concepto y hacerlo extensivo a todos los derechos subjetivos.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década actual ha superado ya esta concepción aislacionista, y la doctrina explica que el derecho a la intimidad constituye una calidad personal y social de la persona, que debe ser objeto de tutela constitucional, en la medida en que ésta puede tener legítimo derecho a no revelar a terceros, aspectos de su vida, que el titular aprecia que deban permanecer en un plano reservado. La facultad de elección de la persona acerca de la información representa la autodeterminación informativa en cuanto al derecho a la privacidad.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Legislación 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Son numerosos los países que han elaborado normas jurídicas que garantizan el derecho a la privacidad a través del control y del acceso a la información.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nuestro país el derecho a la intimidad se encuentra reconocido y consagrado constitucionalmente. Al respecto la Constitución Nacional dispone: La intimidad personal y familiar, así como el respeto a la vida privada, son inviolables. La conducta de las personas, en tanto no afecte al orden público establecido en la ley o a los derechos de terceros, está exenta de la autoridad pública. Se garantiza el derecho a la protección de la intimidad, de la dignidad y de la imagen privada de las personas (art. 33).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Existen además otras disposiciones constitucionales concordantes que garantizan otros derechos fundamentales como el derecho a la libertad y la seguridad (art. 9º), libertad religiosa, de cultos e ideológica (art. 24), libertad de expresión y de prensa (art. 26), libertad de reunión y de manifestación (art. 32) inviolabilidad de los recintos privados, del patrimonio documental y la comunicación privada (arts. 34 y 36), derecho a la objeción de conciencia (art. 37), etc.</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otorga tutela constitucional al derecho a la intimidad, pero también se reconoce el derecho a la información, existiendo muchas veces colisión entre ambas garantías: Se reconoce el derecho de las personas a recibir información veraz, responsable y ecuánime... Toda persona afectada por la difusión de una información falsa, distorsionada o ambigua tiene derecho a exigir su rectificación o su aclaración por el mismo medio y en las mismas condiciones que haya sido divulgada, sin perjuicio de los demás derechos compensatorios (art. 28).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Constitución de 1992 consagra por primera vez en nuestro ordenamiento jurídico la figura del habeas data; al respecto dispone: Toda persona puede acceder a la información y a los datos que sobre sí misma, o sobre sus bienes, obren en registros oficiales o privados de carácter público, así como conocer el uso que se haga de los mismos y de su finalidad.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Podrá solicitar ante el magistrado competente la actualización, la rectificación o la destrucción de aquellos, si fuesen erróneos o afectaran ilegítimamente sus derechos (art. 135).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habeas data, además de cumplir una importante función frente a registros de datos que puedan causar perjuicios o ser equivocados, también es una defensa para el particular frente a los avances de la Informática, que permite, cada vez con mejores recursos, la formación de verdaderos bancos de datos, generalmente dependientes de organismos del Estado.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El hombre es sujeto de ciertos derechos inalienables, imprescriptibles y exclusivos. Todo ordenamiento </w:t>
            </w:r>
            <w:r w:rsidRPr="00EB097F">
              <w:rPr>
                <w:rFonts w:ascii="Arial" w:eastAsia="Times New Roman" w:hAnsi="Arial" w:cs="Arial"/>
                <w:color w:val="003399"/>
                <w:sz w:val="17"/>
                <w:szCs w:val="17"/>
                <w:lang w:eastAsia="es-AR"/>
              </w:rPr>
              <w:lastRenderedPageBreak/>
              <w:t xml:space="preserve">jurídico debe hacer un reconocimiento expreso de ellos y velar por su estricto cumplimiento.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momento de situar en un lado de la balanza al hombre, y del otro lado a los avances tecnológicos que puedan lesionar aquellos derechos, debemos encontrarnos con una importante inclinación a favor del ser humano y de su condición de tal, debido a que no puede existir ningún sistema tecnológico, que permita menoscabar o restringir los derechos personalísimos del hombre.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BIBLIOGRAFIA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AUTORES VARIOS. Actas del II Congreso Iberoamericano de Informática y Derecho. CREI, Centro Regional para la Enseñanza de la Informática.</w:t>
            </w:r>
            <w:r w:rsidRPr="00EB097F">
              <w:rPr>
                <w:rFonts w:ascii="Arial" w:eastAsia="Times New Roman" w:hAnsi="Arial" w:cs="Arial"/>
                <w:color w:val="003399"/>
                <w:sz w:val="17"/>
                <w:szCs w:val="17"/>
                <w:lang w:eastAsia="es-AR"/>
              </w:rPr>
              <w:br/>
              <w:t>Ciudad de Guatemala, Guatemala. 1989.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AUTORES VARIOS. Textos de ponencias y comunicaciones. Congreso sobre Derecho Informático. Universidad de Zaragoza, Facultad de Derecho.</w:t>
            </w:r>
            <w:r w:rsidRPr="00EB097F">
              <w:rPr>
                <w:rFonts w:ascii="Arial" w:eastAsia="Times New Roman" w:hAnsi="Arial" w:cs="Arial"/>
                <w:color w:val="003399"/>
                <w:sz w:val="17"/>
                <w:szCs w:val="17"/>
                <w:lang w:eastAsia="es-AR"/>
              </w:rPr>
              <w:br/>
              <w:t>Zaragoza, 1989.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AUTORES VARIOS. Informática y Derecho. Seminario Internacional. Universidad Católica Nuestra Señora de la Asunción, Facultad de Ciencias Jurídicas y Diplomáticas. 1989.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AUTORES VARIOS. Derechos Intelectuales. Volúmenes I y V. Editorial</w:t>
            </w:r>
            <w:r w:rsidRPr="00EB097F">
              <w:rPr>
                <w:rFonts w:ascii="Arial" w:eastAsia="Times New Roman" w:hAnsi="Arial" w:cs="Arial"/>
                <w:color w:val="003399"/>
                <w:sz w:val="17"/>
                <w:szCs w:val="17"/>
                <w:lang w:eastAsia="es-AR"/>
              </w:rPr>
              <w:br/>
              <w:t>Astrea. Buenos Aires, 1991.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BIELSA, RAFAEL A. Y OTROS AUTORES. Informática y Derecho. Aportes de</w:t>
            </w:r>
            <w:r w:rsidRPr="00EB097F">
              <w:rPr>
                <w:rFonts w:ascii="Arial" w:eastAsia="Times New Roman" w:hAnsi="Arial" w:cs="Arial"/>
                <w:color w:val="003399"/>
                <w:sz w:val="17"/>
                <w:szCs w:val="17"/>
                <w:lang w:eastAsia="es-AR"/>
              </w:rPr>
              <w:br/>
              <w:t>Doctrina Internacional. Volumen I. Ediciones Depalma. Buenos Aires, 1987.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CORREA, CARLOS M. Y OTROS AUTORES. Derecho Informático. Ediciones</w:t>
            </w:r>
            <w:r w:rsidRPr="00EB097F">
              <w:rPr>
                <w:rFonts w:ascii="Arial" w:eastAsia="Times New Roman" w:hAnsi="Arial" w:cs="Arial"/>
                <w:color w:val="003399"/>
                <w:sz w:val="17"/>
                <w:szCs w:val="17"/>
                <w:lang w:eastAsia="es-AR"/>
              </w:rPr>
              <w:br/>
              <w:t>Depalma. Buenos Aires, 1987.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GALINDO AYUDA, FERNANDO Y OTROS AUTORES. Seminario de Informática y Derecho. Facultad de Derecho, Universidad de Zaragoza, 1990.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ROLDAN CASAÑE, BENITO. Información y decisión en el ámbito de la Justicia. CREI, Centro Regional para la Enseñanza de la Informática.</w:t>
            </w:r>
            <w:r w:rsidRPr="00EB097F">
              <w:rPr>
                <w:rFonts w:ascii="Arial" w:eastAsia="Times New Roman" w:hAnsi="Arial" w:cs="Arial"/>
                <w:color w:val="003399"/>
                <w:sz w:val="17"/>
                <w:szCs w:val="17"/>
                <w:lang w:eastAsia="es-AR"/>
              </w:rPr>
              <w:br/>
              <w:t>Madrid, 1989.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Perez Luño, Antonio Enrique, Libertad informática y derecho a la autodeterminación informativa. Congreso sobre Derecho Informático.</w:t>
            </w:r>
            <w:r w:rsidRPr="00EB097F">
              <w:rPr>
                <w:rFonts w:ascii="Arial" w:eastAsia="Times New Roman" w:hAnsi="Arial" w:cs="Arial"/>
                <w:color w:val="003399"/>
                <w:sz w:val="17"/>
                <w:szCs w:val="17"/>
                <w:lang w:eastAsia="es-AR"/>
              </w:rPr>
              <w:br/>
              <w:t>Zaragoza, España. pág. 361.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Travieso, Juan Antonio. Derechos Humanos, Informática y Privacidad. II Congreso Iberoamericano de Informática y Derecho. Guatemala. 1989.</w:t>
            </w:r>
            <w:r w:rsidRPr="00EB097F">
              <w:rPr>
                <w:rFonts w:ascii="Arial" w:eastAsia="Times New Roman" w:hAnsi="Arial" w:cs="Arial"/>
                <w:color w:val="003399"/>
                <w:sz w:val="17"/>
                <w:szCs w:val="17"/>
                <w:lang w:eastAsia="es-AR"/>
              </w:rPr>
              <w:br/>
              <w:t xml:space="preserve">pág. 533.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1" w:name="11"/>
            <w:bookmarkEnd w:id="11"/>
            <w:r w:rsidRPr="00EB097F">
              <w:rPr>
                <w:rFonts w:ascii="Arial" w:eastAsia="Times New Roman" w:hAnsi="Arial" w:cs="Arial"/>
                <w:b/>
                <w:bCs/>
                <w:color w:val="009933"/>
                <w:sz w:val="20"/>
                <w:szCs w:val="20"/>
                <w:lang w:eastAsia="es-AR"/>
              </w:rPr>
              <w:t>"LA ADOPCION INTERNACIONAL PERSPECTIVA DESDE EL DERECHO INTERNACIONAL PRIVADO"</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Roberto Ruiz Díaz Labrano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 internacional privado</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6"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El tema de la adopción corresponde al 'derecho de familia' que como categoría de relación jurídica abarca todo el aspecto vinculado a la relación de parentesco. Es así porque los criterios que legislativamente han sido consagrados oscilan entre la permanencia del antiguo vínculo o su ruptura por la creación de uno nuevo, pero en definitiva son las relaciones de parentesco las que están afectadas directamente y en consecuencia la 'familia'; la particularidad que ofrece la internacionalización de las relaciones en la adopción tampoco escapa de este contexto.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Muchas veces, por la especialización de las instituciones, olvidamos que la misma tiene por objetivo la profundización en el conocimiento de una institución jurídica y no la escisión del contexto jurídico o relación jurídica fundamental o general que le da vida. Esta perspectiva habrá de ser considerada en todo lo vinculado a la adopción porque sirve para orientar la solución a los múltiples cuestionamientos que puede presentar este instituto.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Tampoco podemos dejar de referir, aun cuando nos toca ocuparnos del ámbito jurídico, el aspecto social en el que se desarrolla la institución de la adopción y su 'internacionalización' en América</w:t>
            </w:r>
            <w:r w:rsidRPr="00EB097F">
              <w:rPr>
                <w:rFonts w:ascii="Arial" w:eastAsia="Times New Roman" w:hAnsi="Arial" w:cs="Arial"/>
                <w:color w:val="003399"/>
                <w:sz w:val="17"/>
                <w:szCs w:val="17"/>
                <w:lang w:eastAsia="es-AR"/>
              </w:rPr>
              <w:br/>
              <w:t>Latina. Diríamos que el fenómeno se presenta señalando un plano de división global de países desarrollados y países no desarrollados, a partir del cual la perspectiva se multiplica hacia factores políticos, sociales, jurídicos y como estamos observando económicos.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institución de la adopción nació como solución para los niños que perdieron a sus padres, fueron abandonados o cuando por alguna razón fueron apartados de su contexto familiar natural sin posibilidad de reinserción. Hoy sin embargo nadie podría discutir que el fenómeno interno e internacional de la adopción va íntimamente ligado al aumento creciente de la población y las condiciones de pobreza y en algunos casos de extrema pobreza, como factores condicionantes de una nueva realidad, la de dar en adopción como opción de supervivencia.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sentido inverso, es una realidad la disminución de la tasa de natalidad en los países desarrollados que no elimina obviamente la vocación o interés en renovar o recobrar la 'familia', sobre todo en sociedades donde pese a la multitud, el hombre pareciera estar cada vez más aislado y carente de afecto. Simplemente observando el creciente interés de adoptantes de países desarrollados y de adoptados de países no desarrollados y señalando que el fenómeno inverso constituiría casi una excepción confirmando la regla, nos indica que el factor económico condiciona fuertemente el aumento de la adopción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Señalando todos estos factores, Didier Opertti nos dice: 'Tenemos planteada en toda su crudeza la antítesis de niños sin familia en América Latina y familia sin niños en Estados Unidos y Europa Occidental' (Comentarios a la Convención Interamericana sobre Conflictos de Leyes en Materia de Adopción de Menores, Editado por el Instituto Interamericano del Niño, Montevideo 1986).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adopción internacional y el Derecho Internacional Privado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Dejando por ahora de lados, lo que hemos señalado al solo efecto de no perder una perspectiva realista, diremos que este tema interesa directamente al Derecho Internacional Privado, en primer lugar, por la diversidad legislativa existente, esto es, la multiplicidad de legislaciones que encaran de un modo diferente temas como el de la permanencia del vínculo anterior, las condiciones para la adopción parcial o plena, la revocabilidad o no de la adopción que ya nos coloca ante la posibilidad de que un mismo instituto esté encarado de un modo diverso en otros Estados y, por supuesto, la necesidad de analizar cuál legislación es la aplicable.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hecho es significativo por cuanto muchas circunstancias conducen a la internacionalización de las relaciones, como la diversa nacionalidad, domicilio o residencia entre adoptantes y adoptados y aun por el hecho de que la adopción y las condiciones de su otorgamiento de acuerdo a las leyes de un Estado sean invocadas en otro.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Todos estos elementos generan o pueden generar los denominados 'conflictos de leyes', ante la posibilidad de que a una relación jurídica internacionalizada le pueda ser aplicada una ley u otra en</w:t>
            </w:r>
            <w:r w:rsidRPr="00EB097F">
              <w:rPr>
                <w:rFonts w:ascii="Arial" w:eastAsia="Times New Roman" w:hAnsi="Arial" w:cs="Arial"/>
                <w:color w:val="003399"/>
                <w:sz w:val="17"/>
                <w:szCs w:val="17"/>
                <w:lang w:eastAsia="es-AR"/>
              </w:rPr>
              <w:br/>
              <w:t>razón de los elementos o factores componentes de la relación.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Vemos por tanto que en relación al Derecho Internacional Privado lo que interesa es que el elemento o factor extranjero o foráneo de la relación jurídica genere la necesidad de ubicar la ley aplicable o determinar la jurisdicción competente, una situación de conflicto de leyes.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De acuerdo al tipo de relación que atañe a la adopción, los elementos de conexión tomados en cuenta por las diversas legislaciones son la ley personal de la nacionalidad o la ley personal del domicilio o </w:t>
            </w:r>
            <w:r w:rsidRPr="00EB097F">
              <w:rPr>
                <w:rFonts w:ascii="Arial" w:eastAsia="Times New Roman" w:hAnsi="Arial" w:cs="Arial"/>
                <w:color w:val="003399"/>
                <w:sz w:val="17"/>
                <w:szCs w:val="17"/>
                <w:lang w:eastAsia="es-AR"/>
              </w:rPr>
              <w:lastRenderedPageBreak/>
              <w:t>residencia habitual.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Precisando la relación caerá dentro del campo del Derecho Internacional Privado cuando algún aspecto de la relación jurídica contiene algún elemento que internacionaliza la relación y que lleva a preguntar cuál es la legislación aplicable.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distinción es importante, porque se ha dicho, por ejemplo, que no constituye 'adopción internacional' la realizada por adoptantes que aun siendo extranjeros, están domiciliados en el país del foro, porque la relación jurídica está circunscripta al orden jurídico local y el factor de conexión indicado por nuestras normas de conflicto, el domicilio, también se encuentra ubicado en nuestro país. La pregunta que debemos formular es qué sucede cuando el factor de conexión es la ley personal de la nacionalidad y no el domicilio, conforme a otras legislaciones.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Desde el punto de vista del Derecho Internacional Privado la cuestión fundamental es ubicar la ley aplicable a los diversos aspectos que involucra la adopción cuando en la relación se dan los presupuestos que hemos enunciado y precisamos determinar 'la ley aplicable o competente' para regirla.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Simplificando, podríamos decir que siempre cuando se deba analizar la adopción por parte de personas domiciliadas en el extranjero para la adopción de una persona domiciliada en otro Estado se dan elementos extranjerizantes que llevan a indagar qué ley rige la capacidad del adoptante y qué ley rige la capacidad para ser adoptado.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Pero, eventualmente, si el criterio legislativo es el de la nacionalidad, como se da en otras legislaciones, ambas partes podrían estar domiciliados o residentes en el mismo territorio, no obstante lo cual puede presentarse una cuestión de internacionalización que conduzca a indagar la ley aplicable. El criterio que interesa al Derecho Internacional Privado ante una adopción cuya relación jurídica sea internacionalizada no coincide muchas veces con el criterio común de adopción internacional, donde aparentemente sólo se considera tal aquel que implica necesariamente la existencia de un domicilio para los adoptantes y otro para el adoptado.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ejemplo, si nos atenemos a la legislación paraguaya como ley del foro, deberíamos aplicar nuestra norma de conflicto o de derecho internacional privado para determinar la norma de fondo o material que se ocupa de la capacidad de adoptar. En este caso nos remitiríamos a la ley del domicilio de los adoptantes, pero si recurriéramos a la norma de conflicto de la ley del domicilio a su vez ésta nos podría indicar que se rige por la ley de la nacionalidad, con lo cual podríamos terminar aplicando una tercera ley o aún la propia si la nacionalidad de la persona -domiciliada en el extranjero- es la paraguaya.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cuestión, por tanto, puede no ser tan simple y puede bien suceder que una adopción que nació enteramente dentro de un mismo orden legislativo o como adopción nacional, deba posteriormente en sus efectos internacionalizarse, como sería el caso de que la familia así constituida se traslade al extranjero y por deceso de una de las partes, se planteen cuestiones como la validez de la adopción, la validez de las formas, los efectos y otros criterios propios del instituto. Estos ejemplos casi extremos han sido expuestos al solo efecto de demostrar la complejidad que pueden adquirir estas relaciones dentro del ámbito jurídico.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Existen otros aspectos no menos importantes frente a la diversidad legislativa ya apuntada y vinculados a la calificación tanto del término jurídico adopción como el de las condiciones de minoridad, lo cual se resuelve por aplicación de la ley del foro.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solución de los conflictos de leyes en este campo puede lograrse de diversa manera dando lugar a corrientes doctrinarias y legislativas en tal sentido.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solución a través de reglas o normas de conflicto (normas adjetivas) que son leyes de carácter formal indicativas de competencia legislativa que permitan determinar cuál es la ley material aplicable. Se puede ejemplificar como sistemas conflictualistas, las contempladas en el Código de Bustamante (1928) y el Tratado de Derecho Civil de Montevideo de 1940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La sanción por medio de convenciones de normas materiales (normas de fondo) uniformes que den directamente la solución del conflicto. Como ejemplo de convención con soluciones materiales se cita a la Convención Europea en materia de adopción de menores (1967).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cuanto a la expresión utilizada de 'adopción internacional', es relativamente reciente para referir aquella 'adopción' donde los adoptantes tienen ya sea su nacionalidad o su domicilio o aun residencia habitual en el extranjero y el adoptado o los padres otorgantes de la adopción son de nacionalidad o se encuentran domiciliados o residentes habitualmente en otro Estado.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Técnicamente la expresión es innecesaria dado que la institución de la adopción no debería en principio </w:t>
            </w:r>
            <w:r w:rsidRPr="00EB097F">
              <w:rPr>
                <w:rFonts w:ascii="Arial" w:eastAsia="Times New Roman" w:hAnsi="Arial" w:cs="Arial"/>
                <w:color w:val="003399"/>
                <w:sz w:val="17"/>
                <w:szCs w:val="17"/>
                <w:lang w:eastAsia="es-AR"/>
              </w:rPr>
              <w:lastRenderedPageBreak/>
              <w:t xml:space="preserve">ser diferenciada, salvo para establecer la solución a los conflictos de leyes y de jurisdicción que pueden presentarse. El motivo es fácilmente explicable dado que con este criterio, al matrimonio celebrado en el extranjero o de personas con diverso domicilio o nacionalidad lo denominaríamos internacional. </w:t>
            </w:r>
            <w:r w:rsidRPr="00EB097F">
              <w:rPr>
                <w:rFonts w:ascii="Arial" w:eastAsia="Times New Roman" w:hAnsi="Arial" w:cs="Arial"/>
                <w:color w:val="003399"/>
                <w:sz w:val="17"/>
                <w:szCs w:val="17"/>
                <w:lang w:eastAsia="es-AR"/>
              </w:rPr>
              <w:br/>
              <w:t>Debemos no obstante reconocer que la tendencia, a pesar de que las convenciones internacionales no utilizan la expresión, es la denominación 'adopción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Instrumentos de carácter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Entre los instrumentos de carácter internacional que son considerados relevantes respecto del tema de la adopción internacional, podemos citar los siguientes: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Código de Bustamante (1928).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El Tratados de Derecho Civil de Montevideo de 1940.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La Convención Europea o de Estraburgo en materia de adopción de Menores 1967.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La Convención de La Haya de 1965. 'Convención relativa a la competencia de las autoridades, la legislación aplicable y el reconocimiento de las decisiones en materia de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 La Convención Americana sobre Derechos Humanos (Pacto de San José de 1969), Art. 19: 'Todo niño tiene derecho a las medidas de protección que su condición de menor requiere por parte de su familia, de la sociedad y del Estado'.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 Declaración sobre los principios sociales y jurídicos relativos a la protección y el bienestar de los niños con particular referencia a la adopción y la colocación en hogares de guarda en los planos nacional e internacional. (Elaborado por un grupo de expertos convocados por las Naciones Unidas y reunidos en Ginebra del 11 al 15 de diciembre de 1978. La declaración fue aprobada por el Consejo Económico y Social de las Naciones Unidas en su primer período de sesiones de 1981 (Res. 18/1981).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g. La Convención Interamericana sobre Conflictos de Leyes en materia de Adopción de Menores, que se suscribió en oportunidad de la Tercera Conferencia Especializada de Derecho Internacional Privado 'CIDIP III' en La Paz Bolivia, realizada en 1984. La cual por su vinculación directa con el tema es comentada al final, aun cuando no ha sido ratificada por el Paraguay.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entre las convenciones latinoamericanas veamos las soluciones más importantes: son el Código de Bustamante, el Tratado de Montevideo de 1940 y la Convención Interamericana sobre Conflictos de Leyes en Materia de Adopción de Menores de La Paz en 1984.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Código de Bustamante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Capítulo VIII</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Artículo 73. La capacidad para adoptar y ser adoptado y las condiciones y limitaciones de la adopción se sujetarán a la ley personal de cada uno de los interesados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Artículo 74. Se regulan por la ley personal del adoptante sus efectos en cuanto a la sucesión de éste, y por la del adoptado lo que se refiere al apellido y a los derechos y deberes que conserve respecto de su familia natural, así como a su sucesión respecto del adoptado.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Artículo 75. Cada uno de los interesados podrá impugnar la adopción de acuerdo con las prescripciones de su ley personal.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Artículo 76. Son de orden público internacional las disposiciones que en esta materia regulan el derecho a alimentos y las que establecen para la adopción formas solemnes.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Artículo 77. Las disposiciones de los cuatro artículos precedentes no se aplicarán a los Estados cuyas legislaciones no reconozcan la adopción.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TRATADO DE DERECHO CIVIL DE MONTEVIDEO DE 1940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TITULO VII</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Artículo 23. La adopción se rige en lo que atañe a la capacidad de las personas y en lo que respecta a condiciones, limitaciones y efectos, por las leyes de los domicilios de las partes en cuanto sean concordantes, con tal de que el acto conste en instrumento público.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Artículo 24. Las demás relaciones jurídicas concernientes a las partes se rigen por las leyes a que cada una de estas se hallen sometida.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Convención Interamericana sobre conflictos de leyes en materia de Adopción de Menores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Abordaremos con mayor detenimiento, por ser especializada sobre el tema.</w:t>
            </w:r>
            <w:r w:rsidRPr="00EB097F">
              <w:rPr>
                <w:rFonts w:ascii="Arial" w:eastAsia="Times New Roman" w:hAnsi="Arial" w:cs="Arial"/>
                <w:color w:val="003399"/>
                <w:sz w:val="17"/>
                <w:szCs w:val="17"/>
                <w:lang w:eastAsia="es-AR"/>
              </w:rPr>
              <w:br/>
              <w:t>La Convención sobre adopción de La Tercera Conferencia Especializada Interamericana de Derecho Internacional Privado 'CIDIP-III' (La Paz 1984).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Asamblea General de la O.E.A. convocó a la Tercera Conferencia Especializada Interamericana sobre Derecho Internacional Privado (Res. 505/90), de acuerdo a la recomendación contenida en la resolución VII de la segunda conferencia. A esta reunión precedieron otras vinculadas a los temas a ser tratados, entre ellos el delicado tema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reunión previa se efectuó a iniciativa y bajo los auspicios del Instituto Interamericano del Niño, organismo especializado de la Organización de los Estados Americanos que se llevó cabo en Quito-Ecuador del 7 al 11 de marzo de 1983 sobre el tema de 'Adopción de Menores', que se abordó con la participación no sólo de juristas sino de otras especialidades vinculadas al delicado tema, hecho que hizo de la reunión una de las más completas y serias a nivel latinoamericano, efectuadas para atender todo el gran espectro social y jurídico que conlleva el tema.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 referida reunión se aprobaron las Bases de la Ley Uniforme en materia de Adopción y el Proyecto de Convención sobre conflictos de leyes en materia de Adopción (Ver Instituto Interamericano del Niño/OEA, Reunión de Expertos sobre Adopción de Menores, Actas y Documentos II Tomo y el 'Informe Final' en un tomo; ver igualmente Didier Opertti Badán, La Tercera Conferencia especializada sobre Derecho Internacional Privado (CIDIP-III), en Revista Uruguaya de Derecho Procesal, Montevideo 1984).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Sentadas las bases y con el proyecto elaborado, se reunió la Tercera Conferencia Especializada Interamericana sobre Derecho Internacional Privado (CIDIP-III) en La Paz, Bolivia desde el 15 al 24 de mayo de 1984, con la representación de 18 países americanos así como observadores europeos y representantes de organismos internacionales; el Paraguay estuvo representado por el Dr. Miguel Angel Bestard.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CIDIP-III finalmente aprobó cuatro convenciones, de las cuales la primera fue la Convención Interamericana sobre Conflictos de Leyes en materia de Adopción de Menores.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Respecto de la primera convención es aconsejable consultar la obra de Didier Opertti Badán, Comentarios a la Convención Interamericana sobre Conflictos de Leyes en Materia de Adopción de Menores, editada por el Instituto Interamericano del Niño, Montevideo 1986.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Convención Interamericana sobre conflictos de leyes en materia de Adopción de Menores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Ambito de aplicación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artículo 1°. se establece que la Convención se aplicará a la adopción de menores bajo las formas de adopción plena, legitimación adoptiva y otras instituciones afines, que equiparen al adoptado a la condición de hijo cuya filiación esté legalmente establecida, cuando el adoptante (o adoptantes) tenga su domicilio en un Estado Parte y el adoptado su residencia habitual en otro Estado Parte.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vemos, la Convención no hace mención específica a la denominación 'adopción internacional', pero es evidente que se ocupa de ellas al referir los elementos o factores de conexión vinculados a la adopción que internacionalizan la relación.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sentido expresado el factor de internacionalidad y conexidad es la diversidad de domicilios entre adoptantes y adoptado para el cual hace referencia también a la residencia habitual. La primera conclusión a la cual se arriba es que la Convención se define por la ley personal del domicilio como factor de conexión a fin de determinar la ley aplicable.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Tipos de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A objeto de eliminar la discusión sobre el alcance de la Convención en cuanto a las formas de adopción, esto es sobre el tipo de adopción plena o simple, en el artículo 2°, partiendo de la adopción plena cualquier Estado Parte podrá declarar, al momento de firmar o ratificar esta Convención, o de adherirse a ella, que se extiende su aplicación a cualquier otra forma de adopción internacional de menores, consecuente con el Art. 1° que menciona la adopción plena, la legitimación adoptiva y otras instituciones afines, que equiparen al adoptado a la condición de hijo. Solución práctica sin duda por la diversidad de fórmulas legislativas.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Ley aplicable a los requisitos para ser adoptado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3° dispone claramente que para ser adoptado la ley de la residencia habitual del menor regirá:</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capacidad;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Consentimiento;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Demás requisitos para ser adoptado; 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Cuáles son los procedimientos y formalidades extrínsecas necesarios</w:t>
            </w:r>
            <w:r w:rsidRPr="00EB097F">
              <w:rPr>
                <w:rFonts w:ascii="Arial" w:eastAsia="Times New Roman" w:hAnsi="Arial" w:cs="Arial"/>
                <w:color w:val="003399"/>
                <w:sz w:val="17"/>
                <w:szCs w:val="17"/>
                <w:lang w:eastAsia="es-AR"/>
              </w:rPr>
              <w:br/>
              <w:t>para la constitución del vínculo.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Concordante con nuestras normas generales sobre la ley que rige la capacidad de las personas físicas, la Convención utilizando la expresión residencia habitual que debe ser entendida como sinónimo de domicilio establece que la 'capacidad' para ser adoptado está regida por la ley de la residencia habitual.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 disposición debe ser entendida en dos momentos, la residencia habitual al momento de la adopción y la residencia habitual posterior cuando ya se encuentre radicado en el país del domicilio de los adoptantes. Si bien en todos los casos la capacidad originaria viciada por una nulidad insanable, no podría ser suplida por invocación de la ley de la residencia habitual posterior.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cuanto al consentimiento, las formas y las modalidades de su otorgamiento deben ser regidos también por las leyes de residencia habitual del menor al tiempo de ser dado en adopción y de allí la importancia de que el acto reúna todas las garantías para el adoptante de que es un acto excepto de vicios que podrían anular el acto, dado que la ley a ser analizada en la hipótesis de conflicto en relación al menor y al consentimiento será la de la residencia habitual al tiempo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Convención, dada la variabilidad de procedimientos y garantías legislativas que existen en los diversos países, sujeta el procedimiento a la ley de la residencia habitual del adoptado, de forma tal que todo el procedimiento, formas extrínsecas y todo otro requisito estarán sometidos a esta ley, razón por la cual las leyes locales deben ser claras y ofrecer garantías de absoluta transparencia, corrección y legalidad.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Ley aplicable a los requisitos para ser adoptante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4° deja asentado igualmente el criterio de la ley del domicilio del adoptante el cual regirá:</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capacidad para ser adoptante;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los requisitos de edad y estado civil del adoptante;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c) el consentimiento del cónyuge del adoptante, si fuere el caso; y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 los demás requisitos para ser adoptante.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Previene, asimismo, que en el supuesto de que los requisitos de la ley del adoptante sean manifiestamente menos estrictos a los señalados por la ley de la residencia habitual del adoptado, regirá la ley de éste, favoreciendo en todo caso la calidad de adoptante.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Este artículo puede importar alguna complejidad para quienes no están habituados al mecanismo del Derecho Internacional Privado, porque está señalando la ley que tratándose de adopción internacional, es normalmente extranjera, para regir aspectos fundamentales en los requisitos y condiciones para ser adoptante.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nuestro caso ante el artículo 22 del Código Civil, que no debemos olvidar se encuentra dentro del TITULO PRELIMINAR del Código Civil, y que es la ley madre en materia civil, dice: 'Los jueces y tribunales aplicarán, de oficio, las leyes extranjeras, siempre que no se opongan a las instituciones </w:t>
            </w:r>
            <w:r w:rsidRPr="00EB097F">
              <w:rPr>
                <w:rFonts w:ascii="Arial" w:eastAsia="Times New Roman" w:hAnsi="Arial" w:cs="Arial"/>
                <w:color w:val="003399"/>
                <w:sz w:val="17"/>
                <w:szCs w:val="17"/>
                <w:lang w:eastAsia="es-AR"/>
              </w:rPr>
              <w:lastRenderedPageBreak/>
              <w:t>políticas, las leyes de orden público, la moral y las buenas costumbres, sin perjuicio de que las partes puedan alegar y probar la existencia y contenido de ellas.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se aplicarán las leyes extranjeras cuando las normas de este Código sean más favorables a la validez de los actos'.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 disposición nos conduce directamente a la obligatoriedad de aplicación de la ley extranjera competente y las fórmulas del Tratado de Montevideo (vigentes) que son parte de nuestro orden jurídico en materia de Derecho Internacional Privado nos lleva por el mismo camino, y aun las propias normas de conflicto vinculadas a la capacidad en general que están igualmente ubicadas en el Título Preliminar del Código Civil y que dicen: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'Art. 11. La existencia, el estado civil, la capacidad e incapacidad de hecho de las personas físicas domiciliadas en la República, sean nacionales o extranjeras, serán juzgados por las disposiciones de este Código, aunque no se trate de actos ejecutados o de bienes existentes en la República.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Art. 12. La capacidad e incapacidad de hecho de las personas domiciliadas fuera de la República serán juzgadas por las leyes de su domicilio, aunque se trate de actos ejecutados o de bienes existentes en la República'.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Esto nos lleva directamente a que nuestros tribunales deben aplicar 'de oficio' la ley extranjera competente y no la propia en los casos de adoptantes domiciliados fuera de la República en todo lo relativo a la capacidad para ser adoptante.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Esto no quiere decir otra cosa sino que es erróneo comprobar sobre la base de nuestra legislación 'la capacidad para ser adoptante', porque no sería la legislación indicada o competente y también indica que el adoptante deberá probar o el Juzgado de oficio, que de acuerdo a la ley de su domicilio el interesado tiene capacidad para ser adoptante, tiene la edad indicada para ello y las condiciones de estado civil necesarias, así como que reúne todos los demás requisitos de la ley de su domicilio para ser adoptante.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Demás está decir que el interesado anticipará todos los recaudos necesarios para dotar al Juzgado de la 'prueba de la existencia y vigencia de la ley extranjera competente', con lo cual estaríamos evitando trabas posteriores en el reconocimiento de la adopción y evitaríamos en muchos casos el fraude a la ley del país del adoptante, cuando por manipulación del factor de conexión, el domicilio, se busca la aplicación de una ley que permitiría lograr lo que la ley personal indicada por la ley no autorizaría.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incumplimiento de estas reglas, en un juicio serio sobre la validez de la adopción, podría conducir directamente a la nulidad por un vicio substancial, el de la aplicación de una LEY INCOMPETENTE para regir la cuestión jurídica sometida al Juzgado y la aplicación de una ley que no corresponde puede conducir incluso a la inconstitucionalidad por violación del principio de que los jueces deben ceñir sus actos a la ley.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Protección contra la excepción de la institución desconocida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muchos casos podría ser cuestionado o excepcionado el reconocimiento de la adopción, eventualmente por algún tercero interesado, sobre la base de la inexistencia de una institución similar en el orden jurídico del foro. Se trata concretamente de la falta de identidad de las instituciones que puede variar desde el mismo nombre, la denominación 'adopción' frente a la denominación 'legitimación adoptiva', o respecto del alcance y condiciones, como también respecto del procedimiento.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prever esta situación el Art. 5° de la Convención ha previsto que 'las adopciones que se ajusten a la presente Convención surtirán sus efectos de pleno derecho, en los Estados Partes, sin que pueda invocarse la excepción de la institución desconocida'.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 Ley que rige los requisitos de publicidad y registro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6° de la Convención se refiere a los requisitos de publicidad y registro de la adopción, los cuales quedan sometidos a la ley del Estado donde deben ser cumplidos.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asiento registral, se expresarán la modalidad y características de la adopción. Hemos podido observar que el régimen de publicidad es altamente variable de legislación en legislación. La Convención prevé la posibilidad de que las legislaciones puedan prever que también en el domicilio de los adoptantes deba ser realizada alguna suerte de publicidad y que naturalmente también deberá ser registrada la adopción en ambos Estados interesados.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Pero es más claro decir que como parte de las formas a ser observadas para el otorgamiento de la </w:t>
            </w:r>
            <w:r w:rsidRPr="00EB097F">
              <w:rPr>
                <w:rFonts w:ascii="Arial" w:eastAsia="Times New Roman" w:hAnsi="Arial" w:cs="Arial"/>
                <w:color w:val="003399"/>
                <w:sz w:val="17"/>
                <w:szCs w:val="17"/>
                <w:lang w:eastAsia="es-AR"/>
              </w:rPr>
              <w:lastRenderedPageBreak/>
              <w:t>adopción es la ley del foro o del Juez del foro del lugar de otorgamiento de la adopción la que determina el régimen de publicidad, así como las modalidades de registro del acto.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7. El secreto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disposición del Art. 7º que no es una norma típica de Derecho Internacional Privado, establece, contradiciendo en algún sentido el artículo anterior, que se garantizará el secreto de la adopción cuando correspondiere. No obstante, cuando ello fuere posible, se comunicarán a quien legalmente proceda los antecedentes clínicos del menor y de los progenitores si se los conociere, sin mencionar sus nombres ni otros datos que permitan su identificación.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disposición es vaga en relación a que no determina ni hace alusión a cuándo corresponde o no guardar el secreto en la adopción. En estos casos, entiendo que la Convención ha dejado un amplio campo para que los Estados analicen las condiciones del 'secreto de la adopción' y las razones que podrían conducir a levantar el secreto, que podría ser el análisis del procedimiento de legalidad o en</w:t>
            </w:r>
            <w:r w:rsidRPr="00EB097F">
              <w:rPr>
                <w:rFonts w:ascii="Arial" w:eastAsia="Times New Roman" w:hAnsi="Arial" w:cs="Arial"/>
                <w:color w:val="003399"/>
                <w:sz w:val="17"/>
                <w:szCs w:val="17"/>
                <w:lang w:eastAsia="es-AR"/>
              </w:rPr>
              <w:br/>
              <w:t>todo caso las condiciones y posibilidades de investigación.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Somos del criterio de dejar siempre la posibilidad, dentro de ciertos límites, de poder levantar el secreto en algunas circunstancias en razón del tráfico o secuestro de criaturas, y por razones médicas para conocer la historia clínica y antecedentes del adoptado.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8. Instituciones de apoyo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cada vez más creciente la aparición no sólo de 'agencias' sino de 'agentes' vinculados a los trámites de adopción internacional. El Art. 8°. de la Convención no eludió esta situación, pretendiendo que estas organizaciones sean autorizadas por el Estado u organismo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ello enuncia que las autoridades que otorgaren la adopción podrán exigir que el adoptante acredite su aptitud física, moral, psicológica y económica, a través de instituciones públicas o privadas cuya finalidad específica se relacione con la protección del menor.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Pero clarifica que estas instituciones deberán estar expresamente autorizadas por algún Estado u organismo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procedimiento sugerido es de que el Juzgado exija una certificación estatal, debidamente legalizada de que la organización pública o privada está autorizada debidamente a otorgar dichas constancias, así como una declaración de que dichas instituciones 'se comprometen' a informar a la autoridad otorgante de la adopción acerca de las condiciones en que se ha desarrollado la adopción, durante el lapso de un año de acuerdo a la Convención.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Estimamos que el seguimiento debe ser gradativo: a mayor edad mayor dificultad de adaptación; por lo cual se debería prever en la ley esta situación.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acuerdo a la Convención: 'Las instituciones que acrediten las aptitudes referidas se comprometerán a informar a la autoridad otorgante de la adopción acerca de las condiciones en que se ha desarrollado la adopción, durante el lapso de un año. Para este efecto la autoridad otorgante comunicará a la institución acreditante, el otorgamiento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9. Ley que rige las relaciones entre adoptante y adoptado para los casos de adopción plena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9º a fin de no establecer una discriminación respecto de la ley aplicable a las 'relaciones' entre el adoptante, el adoptado y su familia, prevé que la ley aplicable a las mismas es la que rige las relaciones del adoptante con su familia legítima. Esta ley normalmente es la ley del domicilio.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los casos de adopción plena, legitimación adoptiva y figuras afines, siempre que fueren definitivas, los vínculos del adoptado con su familia de origen se considerarán disueltos. Sin embargo, subsistirán los impedimentos para contraer matrimonio.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10. Ley que rige las relaciones entre adoptante y adoptado para los</w:t>
            </w:r>
            <w:r w:rsidRPr="00EB097F">
              <w:rPr>
                <w:rFonts w:ascii="Arial" w:eastAsia="Times New Roman" w:hAnsi="Arial" w:cs="Arial"/>
                <w:color w:val="003399"/>
                <w:sz w:val="17"/>
                <w:szCs w:val="17"/>
                <w:lang w:eastAsia="es-AR"/>
              </w:rPr>
              <w:br/>
              <w:t>casos de adopción simple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10 de la Convención, respecto de las adopciones distintas a la adopción plena, legitimación adoptiva y figuras afines, señala que las relaciones entre adoptante (o adoptantes) y adoptado se rigen por la ley del domicilio del adoptante (o adoptantes).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cuanto a las relaciones del adoptado con su familia de origen, se rigen por la ley de su residencia </w:t>
            </w:r>
            <w:r w:rsidRPr="00EB097F">
              <w:rPr>
                <w:rFonts w:ascii="Arial" w:eastAsia="Times New Roman" w:hAnsi="Arial" w:cs="Arial"/>
                <w:color w:val="003399"/>
                <w:sz w:val="17"/>
                <w:szCs w:val="17"/>
                <w:lang w:eastAsia="es-AR"/>
              </w:rPr>
              <w:lastRenderedPageBreak/>
              <w:t>habitual al momento de la adopción. Esta disposición conduce nuevamente a la aplicación de la legislación extranjera; en este caso sería la ley de discernimiento de la adopción. Las condiciones de otorgamiento, dentro del marco legal del ordenamiento local, seguirán rigiendo en estos casos, lo cual el Juzgado debe hacer consignar expresamente tanto en el acto de compromiso de los adoptantes como en la sentencia de otorgamiento, a fin de evitar interpretaciones equívocas.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11. Ley que rige las sucesiones en materia de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11 dispone que los derechos sucesorios que corresponden al adoptado o adoptante (o adoptantes) se regirán por las normas aplicables a las respectivas sucesiones. Con lo que remite a la norma de conflicto particular que pudiera resultar aplicable a las respectivas sucesiones.</w:t>
            </w:r>
            <w:r w:rsidRPr="00EB097F">
              <w:rPr>
                <w:rFonts w:ascii="Arial" w:eastAsia="Times New Roman" w:hAnsi="Arial" w:cs="Arial"/>
                <w:color w:val="003399"/>
                <w:sz w:val="17"/>
                <w:szCs w:val="17"/>
                <w:lang w:eastAsia="es-AR"/>
              </w:rPr>
              <w:br/>
              <w:t>La solución es más práctica que jurídica; es una remisión directa a las normas de conflictos, que a su vez remitirá a la ley material aplicable.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este caso, también existe dualidad de criterio legislativo en el orden sucesorio, donde la ley de la última nacionalidad (que rige en varios países europeos) está confrontada con la ley del último domicilio del causante (que rige a nuestros países). Por esta razón en las adopciones internacionales se puede generar en el orden sucesorio la posibilidad de aplicación de leyes extranjeras y también la posibilidad del reenvío legislativo.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última parte no es una disposición de Derecho Internacional Privado tradicional; es el ejemplo de normas materiales internacionales, dado que dice: 'En los casos de adopción plena, legitimación adoptiva y figuras afines, el adoptado, el adoptante (o adoptantes) y la familia de éste (o de éstos) tendrán los mismos derechos sucesorios que corresponden a la filiación legitima'. No es una solución formal; es directamente una solución material, que busca evitar las diferencias entre hijos matrimoniales y adoptivos.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12. Ley que rige la revocabilidad de las adopciones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Igual cosa cabe decir respecto a la primera parte del Art. 12 como norma material internacional, al disponer: 'Las adopciones referidas en el articulo 1º, o sea las plenas, serán irrevocables'.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 segunda parte se refiere a las adopciones simples y afines, de las cual se ocupara el Art. 2º, y que la Convención determina que deberá regirse por la ley de la residencia habitual del adoptado, al momento de la adopción. Esto hace que la ley del lugar de otorgamiento, que es normalmente el lugar de la residencia habitual del adoptado al momento de la adopción, es la que determinará la revocabilidad, por lo cual también consideramos que el Juzgado debe comunicar esta remisión al adoptante e incluso la sentencia debería contener las condiciones de revocabilidad establecidas por nuestra ley, a fin de evitar posteriormente su prueba en el domicilio de los adoptantes.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13. Ley que rige la conversión de adopción simple en plena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13 faculta al actor o interesado en la conversión de la adopción simple en plena la elección de la ley aplicable, dándole un doble orden de 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ley de la residencia habitual del adoptado, al momento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la del Estado donde tenga su domicilio el adoptante (o adoptantes), al momento de pedirse la conversión.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por ello conveniente que a fin de facilitar esta opción, se consigne o acompañe extracto o la ley legalizada, que facilitará sin duda la aplicación. Como disposición material indica: 'Si el adoptado tuviera más de 14 años de edad, será necesario su consentimiento'.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14. Ley que rige la anulación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toda institución jurídica cuyo otorgamiento tiene un procedimiento, y en particular frente a la posibilidad del tráfico o secuestro y sustitución de paternidad con fines ilícitos, se debía contemplar la posibilidad de anulación de la adopción, para lo cual es necesario establecer cuál ley habrá de regir la anulabilidad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14 dispone que la anulación de la adopción se regirá por la ley de su otorgamiento. Esta fórmula es enteramente aplicable actualmente, por lo que la nulidad del procedimiento está sujeta a la ley del foro de otorgamiento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Como disposición material declarativa, agrega: 'La anulación sólo será decretada judicialmente, velándose por los intereses del menor que se traduce en que en lo posible se deberá resolver </w:t>
            </w:r>
            <w:r w:rsidRPr="00EB097F">
              <w:rPr>
                <w:rFonts w:ascii="Arial" w:eastAsia="Times New Roman" w:hAnsi="Arial" w:cs="Arial"/>
                <w:color w:val="003399"/>
                <w:sz w:val="17"/>
                <w:szCs w:val="17"/>
                <w:lang w:eastAsia="es-AR"/>
              </w:rPr>
              <w:lastRenderedPageBreak/>
              <w:t>interpretando armónicamente en favor de la validez de la adopción y en beneficio del adoptado'.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15. Competencia jurisdiccional para el otorgamiento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Establece el Art. 15 que serán competentes en el otorgamiento de las adopciones a que se refiere esta Convención, las autoridades del Estado de la residencia habitual del adoptado. Establece por tanto el elemento de conexión domiciliaria de residencia habitual, lo cual es natural para evitar la manipulación del factor de conexión buscando una ley más favorable pero no competente.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16. Competencia jurisdiccional para la anulación o revocación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Serán competentes para decidir sobre: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la anulación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la revocatoria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jueces del Estado de la residencia habitual del adoptado al momento del otorgamiento de la adopción (Art. 16).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16. a. Competencia jurisdiccional para la conversión de la adopción simple en adopción plena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Serán competentes para decidir la conversión de la adopción simple en adopción plena o legitimación adoptiva o figuras afines, cuando ella sea posible, alternativamente y a elección del actor: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las autoridades del Estado de la residencia habitual del adoptado al momento de la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las autoridades del Estado donde tenga domicilio el adoptante (o adoptantes);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las autoridades del Estado donde tenga domicilio el adoptado cuando tenga domicilio propio, al momento de pedirse la conversión.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Convención fijó con buen criterio las opciones que permiten una mejor solución.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17. Competencia jurisdiccional para las relaciones entre adoptado y adoptantes y la familia de éstos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Muchas veces pueden suscitarse conflictos en las relaciones surgidas en la familia del adoptante y el adoptado así como entre los mismos adoptantes y adoptado, por lo cual es necesario determinar el órgano jurisdiccional competente.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solución del Art. 17 de la Convención es la del domicilio del adoptante, salvo cuando ya el adoptado pueda y tenga constituido domicilio propio.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partir del momento en que el adoptado tenga domicilio propio será competente, a elección del actor, el juez del domicilio del adoptado o del adoptante (o adoptantes).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18. Cuestiones de orden público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Todo lo vinculado a la familia, y en especial cuestiones tan delicadas como la adopción, tienen un alto contenido de interés general, que es determinante para analizar la existencia o no del interés público comprometido.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Demás está decir que ni la Convención ni nosotros nos referimos al orden público interno sino al orden público internacional. Por ejemplo, aun cuando la ley del domicilio del adoptante disponga que una persona es capaz de adoptar, supongamos un tipo de matrimonio no admitido ni aceptado por nuestro orden público internacional, pretenda constituirse en adoptante, el fiscal o el juez deberá oponer la excepción de orden público y rechazará la pretensión de adopción.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 18, al respecto, dice: 'Las autoridades de cada Estado Parte podrán rehusarse a aplicar la ley declarada competente por esta Convención cuando sus disposiciones sean manifiestamente contrarias a su orden público'.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19. Ley más favorable a la validez de la adopción y del beneficio del menor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una disposición más de carácter material, pero que puede conducir a analizar la legislación aplicable y conducir directamente a un conflicto de leyes, el Art. 19 dispone que los términos de la presente </w:t>
            </w:r>
            <w:r w:rsidRPr="00EB097F">
              <w:rPr>
                <w:rFonts w:ascii="Arial" w:eastAsia="Times New Roman" w:hAnsi="Arial" w:cs="Arial"/>
                <w:color w:val="003399"/>
                <w:sz w:val="17"/>
                <w:szCs w:val="17"/>
                <w:lang w:eastAsia="es-AR"/>
              </w:rPr>
              <w:lastRenderedPageBreak/>
              <w:t>Convención y las leyes aplicables según ella se interpretarán armónicamente en favor de la validez de la adopción y en beneficio del adoptado.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Comentario final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Hemos hecho una descripción de la Convención para puntualizar y señalar las fórmulas jurídicas normalmente aceptadas en materia de Derecho Internacional Privado. Entendemos que permitirá cuanto menos una orientación en el tan limitado espacio legislativo en que por ahora se mueve esta institución y donde el Art. 48 del Código del Menor es una de las pocas referencias legislativas concretas.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Parece poco ortodoxo legislar a través de Acordadas de la Corte Suprema de Justicia, sobre esta institución cuando vemos la necesidad de una ley sobre adopción que permita eliminar ese manto de dudas que ensombrece a la institución.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La Convención Interamericana cuya ratificación es una necesidad y que debe ser complementada con la Convención Interamericana sobre restitución de menores y prestación alimentaria en el campo internacional son vacíos legislativos que deben ser llenados con urgencia.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Entendemos que los Estados signatarios no han ratificado la Convención porque la cuestión de la adopción internacional viene causando una gran preocupación a las múltiples personas interesadas desde un punto de vista social y jurídico en la institución y la suerte de los niños entregados en adopción, pero es peor carecer de una normativa que resuelva los problemas de conflictos legislativos que suscita la institución.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La enorme diversidad legislativa y las fórmulas temporarias y hasta de urgencia que muchas veces son aplicadas, desalientan también una solución más humana y armónica y entendemos constituye la razón de la falta de ratificación de la Convención que ha demandado un enorme esfuerzo y la participación de expertos.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La falta de una clarificación, armonización y hasta de compromiso a nivel latinoamericano de encauzar una solución legal que dé seguridad y transparencia se ha constituido en el más grande obstáculo para su ratificación. De toda manera, es un instrumento que en algún sentido se ha adelantado a las dificultades de las normas internas que conduce al descreimiento hacia una Convención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6. El otro aspecto, que no debemos olvidar, es que en este análisis están interesados los Estados que recepcionan a los adoptados y nada podríamos hacer para lograr la aspiración de interpretación armónica en favor de la validez de la adopción y en beneficio del adoptado, si no se asume un compromiso y responsabilidad global, que permita eliminar los flagelos del tráfico y el secuestro de menores, que caminan por el borde de una institución noble, profundamente humana, enturbiando las aguas quedebieran ser cristalinas y transparentes.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7. En este último aspecto, la Convención Interamericana sobre Adopción Internacional dentro del ámbito de las Conferencias Especializadas de Derecho Internacional Privado en la CIDIP-V, realizada en Ciudad de México Marzo/94 ha sido complementada con la Convención Interamericana sobre 'Trafico Internacional de Menores', deslindado con perfiles más claros la institución de la adopción internacional del tráfico de menores, construyendo de esta forma todo un cuadro normativo internacional que debería integrar impostergablemente el orden jurídico internacional de nuestro país.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2" w:name="12"/>
            <w:bookmarkEnd w:id="12"/>
            <w:r w:rsidRPr="00EB097F">
              <w:rPr>
                <w:rFonts w:ascii="Arial" w:eastAsia="Times New Roman" w:hAnsi="Arial" w:cs="Arial"/>
                <w:b/>
                <w:bCs/>
                <w:color w:val="009933"/>
                <w:sz w:val="20"/>
                <w:szCs w:val="20"/>
                <w:lang w:eastAsia="es-AR"/>
              </w:rPr>
              <w:t>"LA CONSTITUCION ES LA LEY DE LAS LEYES"</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Elisa V. Aquino Laterza</w:t>
            </w:r>
            <w:r w:rsidRPr="00EB097F">
              <w:rPr>
                <w:rFonts w:ascii="Arial" w:eastAsia="Times New Roman" w:hAnsi="Arial" w:cs="Arial"/>
                <w:b/>
                <w:bCs/>
                <w:color w:val="003399"/>
                <w:sz w:val="17"/>
                <w:szCs w:val="17"/>
                <w:lang w:eastAsia="es-AR"/>
              </w:rPr>
              <w:br/>
            </w:r>
            <w:r w:rsidRPr="00EB097F">
              <w:rPr>
                <w:rFonts w:ascii="Arial" w:eastAsia="Times New Roman" w:hAnsi="Arial" w:cs="Arial"/>
                <w:b/>
                <w:bCs/>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b/>
                <w:bCs/>
                <w:color w:val="003399"/>
                <w:sz w:val="17"/>
                <w:szCs w:val="17"/>
                <w:lang w:eastAsia="es-AR"/>
              </w:rPr>
              <w:t xml:space="preserve"> </w:t>
            </w:r>
            <w:r w:rsidRPr="00EB097F">
              <w:rPr>
                <w:rFonts w:ascii="Arial" w:eastAsia="Times New Roman" w:hAnsi="Arial" w:cs="Arial"/>
                <w:color w:val="003399"/>
                <w:sz w:val="17"/>
                <w:szCs w:val="17"/>
                <w:lang w:eastAsia="es-AR"/>
              </w:rPr>
              <w:t>Derecho Constitucional</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7"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I. EL PRINCIPIO DE LA SUPREMACÍA CONSTITUCIONAL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constitucionalismo moderno ha elaborado la doctrina de la supremacía de la Constitución, refiriéndose específicamente a los Estados que poseen una Constitución escrita y rígida, que reconoce la distinción entre el Poder Constituyente y el Poder Constituido.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expositores de esta doctrina sostienen que la Constitución es la norma suprema que preside el ordenamiento jurídico de un Estado. Por tanto, el orden jurídico es concebido como una verdadera jerarquía de niveles de normas y no como un sistema de disposiciones de un mismo rango.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supremacía de la Constitución proviene de su mismo origen. Ella es obra de un poder que es fuente de todos los demás, derivando de allí su denominación de 'constituyente'. Es una exigencia lógica advertir que si un poder como éste dicta sus normas, éstas deberán indefectiblemente</w:t>
            </w:r>
            <w:r w:rsidRPr="00EB097F">
              <w:rPr>
                <w:rFonts w:ascii="Arial" w:eastAsia="Times New Roman" w:hAnsi="Arial" w:cs="Arial"/>
                <w:color w:val="003399"/>
                <w:sz w:val="17"/>
                <w:szCs w:val="17"/>
                <w:lang w:eastAsia="es-AR"/>
              </w:rPr>
              <w:br/>
              <w:t>revestir las mismas características de superioridad que el mismo posee.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Constitución es el cimiento de toda la estructura jurídico-política del Estado. Se constituye en el fundamento obligado de todas las otras leyes, las cuales son simplemente derivaciones de sus principios y con la cual deben mantener siempre una relación de armonía y homogeneidad.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Profesor Luis Sánchez Agesta afirma que la 'Constitución es el tronco y las leyes son las ramas y las hojas que viven de su savia', ejemplificando claramente la relación de coordinación estrecha existente entre las normas que componen el orden jurídico y que Hans Kelsen</w:t>
            </w:r>
            <w:r w:rsidRPr="00EB097F">
              <w:rPr>
                <w:rFonts w:ascii="Arial" w:eastAsia="Times New Roman" w:hAnsi="Arial" w:cs="Arial"/>
                <w:color w:val="003399"/>
                <w:sz w:val="17"/>
                <w:szCs w:val="17"/>
                <w:lang w:eastAsia="es-AR"/>
              </w:rPr>
              <w:br/>
              <w:t>expondría magistralmente mediante su pirámide jurídica.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otro lado, de la supremacía de la Constitución resulta la nulidad de todos los actos que la contraríen, o sea que de ello resulta la inconstitucionalidad de los mismos.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Constitución Nacional, promulgada en el año 1992, reconoce la importancia de este principio cuando, en su artículo 137, dispone que 'la ley suprema de la República es la Constitución. Esta, los tratados, convenios y acuerdos internacionales aprobados y ratificados, las leyes dictadas por el Congreso y otras disposiciones jurídicas de inferior jerarquía, sancionadas en su consecuencia, integran el derecho positivo nacional en el orden de prelación enunciado. </w:t>
            </w:r>
            <w:r w:rsidRPr="00EB097F">
              <w:rPr>
                <w:rFonts w:ascii="Arial" w:eastAsia="Times New Roman" w:hAnsi="Arial" w:cs="Arial"/>
                <w:color w:val="003399"/>
                <w:sz w:val="17"/>
                <w:szCs w:val="17"/>
                <w:lang w:eastAsia="es-AR"/>
              </w:rPr>
              <w:br/>
              <w:t>Quienquiera que intente cambiar dicho orden, al margen de los procedimientos previstos en esta</w:t>
            </w:r>
            <w:r w:rsidRPr="00EB097F">
              <w:rPr>
                <w:rFonts w:ascii="Arial" w:eastAsia="Times New Roman" w:hAnsi="Arial" w:cs="Arial"/>
                <w:color w:val="003399"/>
                <w:sz w:val="17"/>
                <w:szCs w:val="17"/>
                <w:lang w:eastAsia="es-AR"/>
              </w:rPr>
              <w:br/>
              <w:t>Constitución, incurrirá en los delitos que se tipificarán y penarán en la ley. Esta Constitución no perderá su validez si dejara de observarse por actos de fuerza o fuera derogada por cualquier otro medio distinto del que ella dispone. Carecen de validez todas las disposiciones o actos</w:t>
            </w:r>
            <w:r w:rsidRPr="00EB097F">
              <w:rPr>
                <w:rFonts w:ascii="Arial" w:eastAsia="Times New Roman" w:hAnsi="Arial" w:cs="Arial"/>
                <w:color w:val="003399"/>
                <w:sz w:val="17"/>
                <w:szCs w:val="17"/>
                <w:lang w:eastAsia="es-AR"/>
              </w:rPr>
              <w:br/>
              <w:t>de autoridad opuestas a lo establecido en esta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principio de la supremacía de la Constitución constituye, siguiendo el criterio del Profesor Segundo Linares Quintana, el más eficiente instrumento técnico hasta hoy conocido para la garantía de la libertad, al imponer a los poderes constituidos la obligación de encuadrar sus</w:t>
            </w:r>
            <w:r w:rsidRPr="00EB097F">
              <w:rPr>
                <w:rFonts w:ascii="Arial" w:eastAsia="Times New Roman" w:hAnsi="Arial" w:cs="Arial"/>
                <w:color w:val="003399"/>
                <w:sz w:val="17"/>
                <w:szCs w:val="17"/>
                <w:lang w:eastAsia="es-AR"/>
              </w:rPr>
              <w:br/>
              <w:t>actos a las reglas que prescribe la ley fundamental.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 los actos emanados de dichos poderes tuvieran la misma jerarquía jurídica que las normas constitucionales, la Constitución podría ser, en cualquier momento, dejada sin efecto por los órganos institucionales, a los cuales precisamente aquella pretende limitar en sus funciones.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artículo 138 de la Constitución Nacional establece incluso que 'se autoriza a los ciudadanos a resistir a dichos usurpadores, por todos los medios a su alcance. En la hipótesis de que una persona o grupo de personas, invocando cualquier principio o representación contraria a esta Constitución, detenten el poder público, sus actos se declaran nulos y sin ningún valor, no vinculantes y, por lo mismo, el pueblo en ejercicio de su derecho de resistencia a la opresión, queda dispensado de su cumplimiento'.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este sentido, puede hablarse de un 'derecho a la resistencia y también a la revolución', que es definido por el jusfilosofo Giorgio del Vicchio como un medio supremo fundado en la razón jurídica natural, para reafirmar el orden jurídico cuando los órganos del Poder Público estén</w:t>
            </w:r>
            <w:r w:rsidRPr="00EB097F">
              <w:rPr>
                <w:rFonts w:ascii="Arial" w:eastAsia="Times New Roman" w:hAnsi="Arial" w:cs="Arial"/>
                <w:color w:val="003399"/>
                <w:sz w:val="17"/>
                <w:szCs w:val="17"/>
                <w:lang w:eastAsia="es-AR"/>
              </w:rPr>
              <w:br/>
              <w:t>constituidos ilegítimamente o contravengan las garantías fundamentales.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Incluso se llega a afirmar que cuando los cuerpos legislativos siguen criterios substancialmente incorrectos en su proceder, y violan las libertades esenciales de los ciudadanos, entonces el Derecho Natural resurge y se coloca frente al positivo, lo desvirtúa y lo crea, obviando</w:t>
            </w:r>
            <w:r w:rsidRPr="00EB097F">
              <w:rPr>
                <w:rFonts w:ascii="Arial" w:eastAsia="Times New Roman" w:hAnsi="Arial" w:cs="Arial"/>
                <w:color w:val="003399"/>
                <w:sz w:val="17"/>
                <w:szCs w:val="17"/>
                <w:lang w:eastAsia="es-AR"/>
              </w:rPr>
              <w:br/>
              <w:t>la legalidad de hoy por la legalidad de mañana.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Ahora bien, para asegurar la efectiva vigencia de este principio y evitar situaciones de desorden, conflictivas y extremas, es preciso instrumentar un sistema de control sobre los actos jurídicos, a fin de </w:t>
            </w:r>
            <w:r w:rsidRPr="00EB097F">
              <w:rPr>
                <w:rFonts w:ascii="Arial" w:eastAsia="Times New Roman" w:hAnsi="Arial" w:cs="Arial"/>
                <w:color w:val="003399"/>
                <w:sz w:val="17"/>
                <w:szCs w:val="17"/>
                <w:lang w:eastAsia="es-AR"/>
              </w:rPr>
              <w:lastRenderedPageBreak/>
              <w:t>identificar los que, por contradecir el espíritu de la Constitución,</w:t>
            </w:r>
            <w:r w:rsidRPr="00EB097F">
              <w:rPr>
                <w:rFonts w:ascii="Arial" w:eastAsia="Times New Roman" w:hAnsi="Arial" w:cs="Arial"/>
                <w:color w:val="003399"/>
                <w:sz w:val="17"/>
                <w:szCs w:val="17"/>
                <w:lang w:eastAsia="es-AR"/>
              </w:rPr>
              <w:br/>
              <w:t>carecen de validez.</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II. El control de constitucionalidad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pesar de su notable trascendencia jurídico-política, el principio estudiado no pasaría de ser más que una mera declaración de intenciones si la Constitución omitiera establecer un procedimiento para hacerlo efectivo en la dinámica de la realidad de los hechos.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plantea el problema de llevar a la práctica el control de la constitucionalidad, de manera que, en todos los casos, los poderes constituidos encuadren su actuación a los principios y las reglas de la ley suprema del Estado.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constitucionalista brasileño Manoel Goncalves Ferreira Filho brinda un concepto del control de constitucionalidad, definiéndolo como la verificación de la adecuación de un acto jurídico, particularmente de la ley, a la Constitución Nacional. La verificación comprende tanto los</w:t>
            </w:r>
            <w:r w:rsidRPr="00EB097F">
              <w:rPr>
                <w:rFonts w:ascii="Arial" w:eastAsia="Times New Roman" w:hAnsi="Arial" w:cs="Arial"/>
                <w:color w:val="003399"/>
                <w:sz w:val="17"/>
                <w:szCs w:val="17"/>
                <w:lang w:eastAsia="es-AR"/>
              </w:rPr>
              <w:br/>
              <w:t>requisitos formales (subjetivos y objetivos) como los substanciales (respeto a los derechos y garantías consagrados en el Constitución) de constitucionalidad de un acto jurídico.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control de constitucionalidad surgió en los EEUU, con una Constitución que no lo previó expresamente. En el caso 'Marbury versus Madison', el Juez Marshall demostró que, si la Constitución americana era la base del derecho e inmutable por medios ordinarios, las leyes</w:t>
            </w:r>
            <w:r w:rsidRPr="00EB097F">
              <w:rPr>
                <w:rFonts w:ascii="Arial" w:eastAsia="Times New Roman" w:hAnsi="Arial" w:cs="Arial"/>
                <w:color w:val="003399"/>
                <w:sz w:val="17"/>
                <w:szCs w:val="17"/>
                <w:lang w:eastAsia="es-AR"/>
              </w:rPr>
              <w:br/>
              <w:t>comunes que lleguen a contradecirla no eran verdaderamente leyes, no eran derecho.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III. Diversos sistemas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sistemas de control de constitucionalidad se clasifican: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Según el momento en que los órganos contralores intervienen, en un control preventivo o un control represivo. Aquél opera antes que el acto se perfeccione (control 'a priori') y éste después de verificado el acto o de promulgada la ley (control 'a posteriori').</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Según la naturaleza del órgano llamado a conocer de las cuestiones de constitucionalidad, pudiendo distinguirse un control jurisdiccional o político.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Bien observa Friedrich que 'si una Constitución ha de ser mantenida, necesita un guardián, más quién ha de ser el guardián sigue discutiéndose a través de la historia'.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Schmitt ha escrito que la demanda de un protector, de un defensor de la Constitución es, en la mayoría de los casos, indicio de situaciones críticas para la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Ante la importancia del problema, la discusión de los juristas se centró en analizar la conveniencia de atribuir tan delicada función a uno u otro poder constituido.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Puede afirmarse que el control será político toda vez que esta función sea confiada a un órgano no perteneciente al Poder Judicial. La creación de ese órgano se funda, principalmente, en el criterio de que la interpretación de la Constitución debe ser reservada a órganos con</w:t>
            </w:r>
            <w:r w:rsidRPr="00EB097F">
              <w:rPr>
                <w:rFonts w:ascii="Arial" w:eastAsia="Times New Roman" w:hAnsi="Arial" w:cs="Arial"/>
                <w:color w:val="003399"/>
                <w:sz w:val="17"/>
                <w:szCs w:val="17"/>
                <w:lang w:eastAsia="es-AR"/>
              </w:rPr>
              <w:br/>
              <w:t>sensibilidad y tino político, porque la Constitución, más que una simple ley, es una realidad de vida cuyo sentido no permanece estático.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Laferriére, resulta evidente que el control de la constitucionalidad, y en general el control de la regularidad, con referencia a la Constitución, de los diversos actos realizados por los órganos estatales, es un problema de naturaleza esencialmente jurídica.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trata, en efecto, de verificar si un acto ha sido válidamente cumplido por una autoridad pública, si ésta se ha mantenido dentro de los límites de su competencia, si una norma inferior, la ley, es o no compatible con una norma superior, la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el autor citado no deja de reconocer que todo lo relacionado con los efectos de ese control posee una relevante importancia política, como que se trata de contener a los poderes</w:t>
            </w:r>
            <w:r w:rsidRPr="00EB097F">
              <w:rPr>
                <w:rFonts w:ascii="Arial" w:eastAsia="Times New Roman" w:hAnsi="Arial" w:cs="Arial"/>
                <w:color w:val="003399"/>
                <w:sz w:val="17"/>
                <w:szCs w:val="17"/>
                <w:lang w:eastAsia="es-AR"/>
              </w:rPr>
              <w:br/>
              <w:t>públicos, razón o propósito fundamental del arte de la política. Encargar a un órgano estatal misión semejante es llamarle a desempeñar dentro del Estado un papel de una proyección política fundamental.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consecuencia, se dice que una misión susceptible de acarrear tan significativos efectos políticos debe estar también reservada a un órgano político. Para otros, si existiera otro tipo de control se estaría atentando contra el principio de separación de los poderes.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Sin embargo, la experiencia ha demostrado que esa clase de control es ineficaz. De hecho, el órgano de naturaleza política se rige más por un criterio de conveniencia circunstancial que por el criterio de velar por la concordancia de los actos de los particulares o de los poderes del Estado con la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Cuando el control es confiado a un órgano del Poder Judicial se dice estar en presencia del control jurisdiccional. La mayoría de la doctrina lo califica como un sistema de control natural. En efecto, la verificación de constitucionalidad no es sino un caso particular de verificación de la legalidad, tarea que, rutinariamente, es desempeñada por el Poder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pueden distinguir dos grandes sistemas de control judicial: un primer tipo, en el cual el poder es difuso pues se distribuye entre varios órganos judiciales ordinarios; y un segundo tipo, en el cual, por el contrario, ese poder está concentrado en un solo órgano judicial. El</w:t>
            </w:r>
            <w:r w:rsidRPr="00EB097F">
              <w:rPr>
                <w:rFonts w:ascii="Arial" w:eastAsia="Times New Roman" w:hAnsi="Arial" w:cs="Arial"/>
                <w:color w:val="003399"/>
                <w:sz w:val="17"/>
                <w:szCs w:val="17"/>
                <w:lang w:eastAsia="es-AR"/>
              </w:rPr>
              <w:br/>
              <w:t>primero ha sido llamado sistema norteamericano o difuso y el segundo sistema austríaco o concentrado.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sistema difuso fue consagrado originariamente por la Constitución de los Estados Unidos de América de 1787 y su interpretación jurisprudencial. El sistema concentrado fue inaugurado por la Constitución de Austria de 1920, redactada por Hans Kelsen, suprimida bajo el régimen nazi y restaurada luego de la Segunda Guerra Mundial.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Según el modo en que opera el referido control, se admite que la cuestión de constitucionalidad de una ley sea examinada por un Juez como excepción, esto es, como alegación o medio de defensa o por intermedio de la acción directa.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inconveniente del control incidental es el mismo que posee el control difuso: la posibilidad de que los Jueces aprecien diferentemente la validez de una ley, con la consecuencia de ser aplicada a unos y no a otros y la incertidumbre en cuanto al derecho aplicable hasta que se</w:t>
            </w:r>
            <w:r w:rsidRPr="00EB097F">
              <w:rPr>
                <w:rFonts w:ascii="Arial" w:eastAsia="Times New Roman" w:hAnsi="Arial" w:cs="Arial"/>
                <w:color w:val="003399"/>
                <w:sz w:val="17"/>
                <w:szCs w:val="17"/>
                <w:lang w:eastAsia="es-AR"/>
              </w:rPr>
              <w:br/>
              <w:t>obtenga la decisión final del Tribunal más alto o especializado.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Hoy, tiende a generalizarse la llamada acción directa, en la cual el objeto de la 'litis' es la inconstitucionalidad. Tal acción es propuesta ante el Tribunal especializado o ante el Supremo y en ella se aprecia de una vez el caso. Este control por acción directa es denominado control principal.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este punto es conveniente efectuar algunas aclaraciones acerca de la naturaleza de la decisión de inconstitucionalidad. Para la doctrina clásica, que proviene de Marshall, siendo nulo el acto constitucional, la decisión que tal hecho reconoce es declaratoria. Para la doctrina</w:t>
            </w:r>
            <w:r w:rsidRPr="00EB097F">
              <w:rPr>
                <w:rFonts w:ascii="Arial" w:eastAsia="Times New Roman" w:hAnsi="Arial" w:cs="Arial"/>
                <w:color w:val="003399"/>
                <w:sz w:val="17"/>
                <w:szCs w:val="17"/>
                <w:lang w:eastAsia="es-AR"/>
              </w:rPr>
              <w:br/>
              <w:t>Kelseniana, siendo anulable 'ex tunc' el acto inconstitucional, la decisión que tal situación establece tiene carácter constitutivo-negativo.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IV. El sistema adoptado por la Constitución 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Constitución Nacional vigente establece tanto un control preventivo como un control represivo. El primero es atribuido al Presidente de la República, que lo ejerce por intermedio del veto, en el caso de que el Proyecto de ley le pareciera inconstitucional (art. 238, inc.4). Este</w:t>
            </w:r>
            <w:r w:rsidRPr="00EB097F">
              <w:rPr>
                <w:rFonts w:ascii="Arial" w:eastAsia="Times New Roman" w:hAnsi="Arial" w:cs="Arial"/>
                <w:color w:val="003399"/>
                <w:sz w:val="17"/>
                <w:szCs w:val="17"/>
                <w:lang w:eastAsia="es-AR"/>
              </w:rPr>
              <w:br/>
              <w:t>veto puede ser superado por el Congreso Nacional, según el procedimiento establecido en los artículos 208 y 209, según la objeción sea parcial o total, respectivamente. El control represivo es confiado al Poder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Luego de una historia política plagada de abusos por parte del poder público y de situaciones de gran incertidumbre en materia política, la Convención Nacional Constituyente optó por un sistema que refuerza la limitación del poder en todos los órdenes. Nuestra ley suprema, desde una óptica formal, ha estructurado un sistema de contralor eminentemente jurisdiccional.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frase más auspiciosa se halla contenida en el artículo 247 de la misma, que establece que 'el Poder Judicial es el custodio de esta Constitución. La interpreta, la cumple y la hace cumplir'.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esta norma, se puede inferir que el sostén fundamental de la vigencia efectiva de la Constitución es el Poder Judicial. Si este mecanismo no funciona como debe o no se halla en condiciones de hacerlo, la norma fundamental estaría expuesta a violaciones constantes, que quedarían impunes.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Constitución de 1992 establece también las características que debe reunir el Poder Judicial afirmando en su artículo 248 que 'queda garantizada la independencia del Poder Judicial. Sólo éste puede conocery decidir en actos de carácter contencioso. En ningún caso los miembros</w:t>
            </w:r>
            <w:r w:rsidRPr="00EB097F">
              <w:rPr>
                <w:rFonts w:ascii="Arial" w:eastAsia="Times New Roman" w:hAnsi="Arial" w:cs="Arial"/>
                <w:color w:val="003399"/>
                <w:sz w:val="17"/>
                <w:szCs w:val="17"/>
                <w:lang w:eastAsia="es-AR"/>
              </w:rPr>
              <w:br/>
              <w:t xml:space="preserve">de otros poderes, ni otros funcionarios, podrán arrogarse atribuciones judiciales que no estén expresamente establecidas en esta Constitución, ni revivir procesos fenecidos, ni paralizar los existentes, ni intervenir de cualquier modo en los juicios. Actos de esta naturaleza conllevan nulidad insanable. Todo </w:t>
            </w:r>
            <w:r w:rsidRPr="00EB097F">
              <w:rPr>
                <w:rFonts w:ascii="Arial" w:eastAsia="Times New Roman" w:hAnsi="Arial" w:cs="Arial"/>
                <w:color w:val="003399"/>
                <w:sz w:val="17"/>
                <w:szCs w:val="17"/>
                <w:lang w:eastAsia="es-AR"/>
              </w:rPr>
              <w:lastRenderedPageBreak/>
              <w:t>ello sin perjuicio de las decisiones arbitrales en el ámbito del derecho privado, con las modalidades que la ley determine para asegurar el derecho de defensa y las soluciones equitativas. Los que atentasen contra la independencia del Poder Judicial y la de sus magistrados, quedarán inhabilitados para ejercer toda función pública por cinco años consecutivos, además de las penas que fije la ley'.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sistema paraguayo es un sistema jurisdiccional concentrado puesto que el art. 259, inc. 5), dispone que es deber y atribución de la Corte Suprema de Justicia conocer y resolver sobre inconstitucionalidad. Esta norma no obsta a que los demás órganos del Poder Judicial se nieguen a</w:t>
            </w:r>
            <w:r w:rsidRPr="00EB097F">
              <w:rPr>
                <w:rFonts w:ascii="Arial" w:eastAsia="Times New Roman" w:hAnsi="Arial" w:cs="Arial"/>
                <w:color w:val="003399"/>
                <w:sz w:val="17"/>
                <w:szCs w:val="17"/>
                <w:lang w:eastAsia="es-AR"/>
              </w:rPr>
              <w:br/>
              <w:t>aplicar una ley inconstitucional, debido a que tanto el Poder Judicial como los demás poderes y todos los ciudadanos deben respetar la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artículo 261 de la misma especifica que la Sala Constitucional de la Corte Suprema de Justicia debe conocer y resolver sobre la inconstitucionalidad de las leyes y de otros instrumentos normativos, declarando la inaplicabilidad de las disposiciones contrarias a esta Constitución en cada caso concreto y en fallo que sólo tendrá efecto con relación a ese caso y también debe decidir sobre la inconstitucionalidad de las sentencias definitivas o interlocutorias, declarando la nulidad de las que resulten contrarias a esta Constitución.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Asimismo, entre las atribuciones del Ministerio Público, la Constitución consagra, en su artículo 268, inc. a), que una de ellas será velar por el respeto de los derechos y las garantías constitucionales, que se hallan contempladas en los artículos 131, 132, 133, 134, 135 y 136 de la</w:t>
            </w:r>
            <w:r w:rsidRPr="00EB097F">
              <w:rPr>
                <w:rFonts w:ascii="Arial" w:eastAsia="Times New Roman" w:hAnsi="Arial" w:cs="Arial"/>
                <w:color w:val="003399"/>
                <w:sz w:val="17"/>
                <w:szCs w:val="17"/>
                <w:lang w:eastAsia="es-AR"/>
              </w:rPr>
              <w:br/>
              <w:t>referida Ley.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haciéndose eco de las opiniones vertidas por los sustentadores de la conveniencia de un control político, los Constituyentes han incluido en el artículo 202, inc. 1), que es atribución y deber del Congreso velar por la observancia de esta Constitución y de las leyes.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Asimismo, se ha dispuesto que es deber y atribución de quien ejerce la Presidencia de la República cumplir y hacer cumplir esta Constitución y las leyes, según lo contemplado en el artículo 238, inc. 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Obviamente, a estos artículos se les debe dar una interpretación acorde a lo establecido en el artículo 3º de la Constitución que expresa que el gobierno es ejercido por los poderes del Estado en un sistema de independencia, equilibrio, coordinación y recíproco control.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conclusión, cabe adherirse a las ideas del ilustre constitucionalista argentino, Juan Bautista Alberdi, que expresaba que 'La Constitución es una gran ley, que pesa sobre el legislador lo mismo que sobre el último de los legislados. La Constitución es la ley de las leyes'.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BIBLIOGRAFIA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-BIDART CAMPOS, Germán. 'Lecciones Elementales de Política'. 5ta.</w:t>
            </w:r>
            <w:r w:rsidRPr="00EB097F">
              <w:rPr>
                <w:rFonts w:ascii="Arial" w:eastAsia="Times New Roman" w:hAnsi="Arial" w:cs="Arial"/>
                <w:color w:val="003399"/>
                <w:sz w:val="17"/>
                <w:szCs w:val="17"/>
                <w:lang w:eastAsia="es-AR"/>
              </w:rPr>
              <w:br/>
              <w:t>Edición. EDIAR Sociedad Anónima Editora Comercial, Industrial y</w:t>
            </w:r>
            <w:r w:rsidRPr="00EB097F">
              <w:rPr>
                <w:rFonts w:ascii="Arial" w:eastAsia="Times New Roman" w:hAnsi="Arial" w:cs="Arial"/>
                <w:color w:val="003399"/>
                <w:sz w:val="17"/>
                <w:szCs w:val="17"/>
                <w:lang w:eastAsia="es-AR"/>
              </w:rPr>
              <w:br/>
              <w:t>Financiera. Buenos Aires, 1987. 430 páginas.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-BOBBIO, Norberto. 'Diccionario de Política'. Volumen I. 4ta. Edición.</w:t>
            </w:r>
            <w:r w:rsidRPr="00EB097F">
              <w:rPr>
                <w:rFonts w:ascii="Arial" w:eastAsia="Times New Roman" w:hAnsi="Arial" w:cs="Arial"/>
                <w:color w:val="003399"/>
                <w:sz w:val="17"/>
                <w:szCs w:val="17"/>
                <w:lang w:eastAsia="es-AR"/>
              </w:rPr>
              <w:br/>
              <w:t>Editora Universidade de Brasilia EDUNB. Brasilia, 1992. 666 páginas.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-DA SILVA, JOSE ALFONSO. 'Curso de Direito Constitucional Positivo'. 9ª</w:t>
            </w:r>
            <w:r w:rsidRPr="00EB097F">
              <w:rPr>
                <w:rFonts w:ascii="Arial" w:eastAsia="Times New Roman" w:hAnsi="Arial" w:cs="Arial"/>
                <w:color w:val="003399"/>
                <w:sz w:val="17"/>
                <w:szCs w:val="17"/>
                <w:lang w:eastAsia="es-AR"/>
              </w:rPr>
              <w:br/>
              <w:t>Edición. Malheiros Editores. San Pablo, 1992. 768 páginas.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-DEL VECCHIO, Giorgio. 'Filosofía del Derecho'. 9ª Edición. Bosch, Casa</w:t>
            </w:r>
            <w:r w:rsidRPr="00EB097F">
              <w:rPr>
                <w:rFonts w:ascii="Arial" w:eastAsia="Times New Roman" w:hAnsi="Arial" w:cs="Arial"/>
                <w:color w:val="003399"/>
                <w:sz w:val="17"/>
                <w:szCs w:val="17"/>
                <w:lang w:eastAsia="es-AR"/>
              </w:rPr>
              <w:br/>
              <w:t>Editorial S.A. Barcelona, 1991. 559 páginas.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-GONCALVES FERREIRA, Manoel. 'Curso de Direito Constitucional'. 19</w:t>
            </w:r>
            <w:r w:rsidRPr="00EB097F">
              <w:rPr>
                <w:rFonts w:ascii="Arial" w:eastAsia="Times New Roman" w:hAnsi="Arial" w:cs="Arial"/>
                <w:color w:val="003399"/>
                <w:sz w:val="17"/>
                <w:szCs w:val="17"/>
                <w:lang w:eastAsia="es-AR"/>
              </w:rPr>
              <w:br/>
              <w:t>Edición. Editora Saraiva. San Pablo, 1992. 322 páginas.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-LINARES QUINTANA, Segundo. 'Derecho Constitucional e Instituciones</w:t>
            </w:r>
            <w:r w:rsidRPr="00EB097F">
              <w:rPr>
                <w:rFonts w:ascii="Arial" w:eastAsia="Times New Roman" w:hAnsi="Arial" w:cs="Arial"/>
                <w:color w:val="003399"/>
                <w:sz w:val="17"/>
                <w:szCs w:val="17"/>
                <w:lang w:eastAsia="es-AR"/>
              </w:rPr>
              <w:br/>
              <w:t>Políticas'. Tomo I. 3ª Edición. Editorial Plus Ultra. Buenos Aires,</w:t>
            </w:r>
            <w:r w:rsidRPr="00EB097F">
              <w:rPr>
                <w:rFonts w:ascii="Arial" w:eastAsia="Times New Roman" w:hAnsi="Arial" w:cs="Arial"/>
                <w:color w:val="003399"/>
                <w:sz w:val="17"/>
                <w:szCs w:val="17"/>
                <w:lang w:eastAsia="es-AR"/>
              </w:rPr>
              <w:br/>
              <w:t>1981. 621 páginas.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-OSSORIO, Manuel. 'Diccionario de Ciencias Jurídicas, Políticas y</w:t>
            </w:r>
            <w:r w:rsidRPr="00EB097F">
              <w:rPr>
                <w:rFonts w:ascii="Arial" w:eastAsia="Times New Roman" w:hAnsi="Arial" w:cs="Arial"/>
                <w:color w:val="003399"/>
                <w:sz w:val="17"/>
                <w:szCs w:val="17"/>
                <w:lang w:eastAsia="es-AR"/>
              </w:rPr>
              <w:br/>
              <w:t>Sociales'. Editorial Heliasta S.R.L. Buenos Aires, 1989. 797 páginas.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-PAPPALARDO ZALDIVAR, Conrado. 'Paraguay: Itinerario Constitucional' 3ª</w:t>
            </w:r>
            <w:r w:rsidRPr="00EB097F">
              <w:rPr>
                <w:rFonts w:ascii="Arial" w:eastAsia="Times New Roman" w:hAnsi="Arial" w:cs="Arial"/>
                <w:color w:val="003399"/>
                <w:sz w:val="17"/>
                <w:szCs w:val="17"/>
                <w:lang w:eastAsia="es-AR"/>
              </w:rPr>
              <w:br/>
              <w:t>Edición. Intercontinental Editora. Asunción, 1993. 111 páginas.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-PRIETO, Justo José. 'Constitución y Régimen Político en el Paraguay'.</w:t>
            </w:r>
            <w:r w:rsidRPr="00EB097F">
              <w:rPr>
                <w:rFonts w:ascii="Arial" w:eastAsia="Times New Roman" w:hAnsi="Arial" w:cs="Arial"/>
                <w:color w:val="003399"/>
                <w:sz w:val="17"/>
                <w:szCs w:val="17"/>
                <w:lang w:eastAsia="es-AR"/>
              </w:rPr>
              <w:br/>
              <w:t xml:space="preserve">El Lector. Asunción, 1987. 348 páginas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3" w:name="13"/>
            <w:bookmarkEnd w:id="13"/>
            <w:r w:rsidRPr="00EB097F">
              <w:rPr>
                <w:rFonts w:ascii="Arial" w:eastAsia="Times New Roman" w:hAnsi="Arial" w:cs="Arial"/>
                <w:b/>
                <w:bCs/>
                <w:color w:val="009933"/>
                <w:sz w:val="20"/>
                <w:szCs w:val="20"/>
                <w:lang w:eastAsia="es-AR"/>
              </w:rPr>
              <w:t>"LA CONSTITUCION PARAGUAYA Y LAS RELACIONES INTERNACIONALES"</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José Félix Fernández Estigarribia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 Internacional Publico y Relaciones Internacionales</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8"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xml:space="preserve">Hay siempre dos visiones de un país. La primera surge de la vida cotidiana, la lucha política, las dificultades sociales y económicas, los problemas derivados de la corrupción que nos preocupan, y a veces, nos desalientan. </w:t>
            </w:r>
            <w:r w:rsidRPr="00EB097F">
              <w:rPr>
                <w:rFonts w:ascii="Arial" w:eastAsia="Times New Roman" w:hAnsi="Arial" w:cs="Arial"/>
                <w:color w:val="003399"/>
                <w:sz w:val="17"/>
                <w:szCs w:val="17"/>
                <w:lang w:eastAsia="es-AR"/>
              </w:rPr>
              <w:br/>
              <w:t xml:space="preserve">Hay una urgente necesidad de encontrar el Paraguay que anhela la mayoría. Más justo, perfeccionado en su democracia, aseguradas sus instituciones. Todo ello se debe seguir construyendo. </w:t>
            </w:r>
            <w:r w:rsidRPr="00EB097F">
              <w:rPr>
                <w:rFonts w:ascii="Arial" w:eastAsia="Times New Roman" w:hAnsi="Arial" w:cs="Arial"/>
                <w:color w:val="003399"/>
                <w:sz w:val="17"/>
                <w:szCs w:val="17"/>
                <w:lang w:eastAsia="es-AR"/>
              </w:rPr>
              <w:br/>
              <w:t xml:space="preserve">Esa imperiosa necesidad muchas veces nos impide reflexionar sobre si hemos o no avanzado en estos últimos cinco años. </w:t>
            </w:r>
            <w:r w:rsidRPr="00EB097F">
              <w:rPr>
                <w:rFonts w:ascii="Arial" w:eastAsia="Times New Roman" w:hAnsi="Arial" w:cs="Arial"/>
                <w:color w:val="003399"/>
                <w:sz w:val="17"/>
                <w:szCs w:val="17"/>
                <w:lang w:eastAsia="es-AR"/>
              </w:rPr>
              <w:br/>
              <w:t xml:space="preserve">Se necesita una mayor perspectiva o el alejarse un poco para intentar verla. </w:t>
            </w:r>
            <w:r w:rsidRPr="00EB097F">
              <w:rPr>
                <w:rFonts w:ascii="Arial" w:eastAsia="Times New Roman" w:hAnsi="Arial" w:cs="Arial"/>
                <w:color w:val="003399"/>
                <w:sz w:val="17"/>
                <w:szCs w:val="17"/>
                <w:lang w:eastAsia="es-AR"/>
              </w:rPr>
              <w:br/>
              <w:t xml:space="preserve">La otra visión, más serena y reflexiva, casi siempre recién la tienen los historiadores. </w:t>
            </w:r>
            <w:r w:rsidRPr="00EB097F">
              <w:rPr>
                <w:rFonts w:ascii="Arial" w:eastAsia="Times New Roman" w:hAnsi="Arial" w:cs="Arial"/>
                <w:color w:val="003399"/>
                <w:sz w:val="17"/>
                <w:szCs w:val="17"/>
                <w:lang w:eastAsia="es-AR"/>
              </w:rPr>
              <w:br/>
              <w:t xml:space="preserve">Aún no hay tiempo para encontrarla. Por ello ni siquiera se habrán sentado las bases de lo que podría ser un magnífico ensayo: 'Historia de una Constituyente'. </w:t>
            </w:r>
            <w:r w:rsidRPr="00EB097F">
              <w:rPr>
                <w:rFonts w:ascii="Arial" w:eastAsia="Times New Roman" w:hAnsi="Arial" w:cs="Arial"/>
                <w:color w:val="003399"/>
                <w:sz w:val="17"/>
                <w:szCs w:val="17"/>
                <w:lang w:eastAsia="es-AR"/>
              </w:rPr>
              <w:br/>
              <w:t xml:space="preserve">Contra muchas predicciones, la Convención Nacional Constituyente de 1992 cumplió con el mandato que le confiriera la Nación paraguaya. </w:t>
            </w:r>
            <w:r w:rsidRPr="00EB097F">
              <w:rPr>
                <w:rFonts w:ascii="Arial" w:eastAsia="Times New Roman" w:hAnsi="Arial" w:cs="Arial"/>
                <w:color w:val="003399"/>
                <w:sz w:val="17"/>
                <w:szCs w:val="17"/>
                <w:lang w:eastAsia="es-AR"/>
              </w:rPr>
              <w:br/>
              <w:t xml:space="preserve">Y entregó al país, para protección de todos, aun de sus más encarnizados adversarios, un texto constitucional que nos rige y espero que por muchos años. </w:t>
            </w:r>
            <w:r w:rsidRPr="00EB097F">
              <w:rPr>
                <w:rFonts w:ascii="Arial" w:eastAsia="Times New Roman" w:hAnsi="Arial" w:cs="Arial"/>
                <w:color w:val="003399"/>
                <w:sz w:val="17"/>
                <w:szCs w:val="17"/>
                <w:lang w:eastAsia="es-AR"/>
              </w:rPr>
              <w:br/>
              <w:t xml:space="preserve">Son páginas con imperfecciones, pero que trasuntan un mayoritario esfuerzo por recuperar las libertades, erradicar la dictadura del país, devolver el anhelado equilibrio de poderes, y entre muchas virtudes, reinsertar el país en la sociedad internacional. En ninguno de los textos constitucionales que nos rigieran en el pasado se va a encontrar un esfuerzo tan sostenido, como el que intenta la Constitución paraguaya de 1992. La Carta Magna refleja instituciones acordes con el mundo de hoy y el del mañana. </w:t>
            </w:r>
            <w:r w:rsidRPr="00EB097F">
              <w:rPr>
                <w:rFonts w:ascii="Arial" w:eastAsia="Times New Roman" w:hAnsi="Arial" w:cs="Arial"/>
                <w:color w:val="003399"/>
                <w:sz w:val="17"/>
                <w:szCs w:val="17"/>
                <w:lang w:eastAsia="es-AR"/>
              </w:rPr>
              <w:br/>
              <w:t xml:space="preserve">Léase si no el Preámbulo que 'ratificando la soberanía e independencia nacionales' agrega la hermosa frase: 'e integrado a la comunidad internacional'. </w:t>
            </w:r>
            <w:r w:rsidRPr="00EB097F">
              <w:rPr>
                <w:rFonts w:ascii="Arial" w:eastAsia="Times New Roman" w:hAnsi="Arial" w:cs="Arial"/>
                <w:color w:val="003399"/>
                <w:sz w:val="17"/>
                <w:szCs w:val="17"/>
                <w:lang w:eastAsia="es-AR"/>
              </w:rPr>
              <w:br/>
              <w:t xml:space="preserve">Ya desde el preámbulo los Constituyentes del Paraguay entendieron que el concepto absoluto de soberanía, a la manera de Bodín, estaba lejos de las necesidades de los habitantes de nuestra tierra. </w:t>
            </w:r>
            <w:r w:rsidRPr="00EB097F">
              <w:rPr>
                <w:rFonts w:ascii="Arial" w:eastAsia="Times New Roman" w:hAnsi="Arial" w:cs="Arial"/>
                <w:color w:val="003399"/>
                <w:sz w:val="17"/>
                <w:szCs w:val="17"/>
                <w:lang w:eastAsia="es-AR"/>
              </w:rPr>
              <w:br/>
              <w:t xml:space="preserve">En el caso de la soberanía debe señalarse el Art. 30 referido a las ondas electromagnéticas. </w:t>
            </w:r>
            <w:r w:rsidRPr="00EB097F">
              <w:rPr>
                <w:rFonts w:ascii="Arial" w:eastAsia="Times New Roman" w:hAnsi="Arial" w:cs="Arial"/>
                <w:color w:val="003399"/>
                <w:sz w:val="17"/>
                <w:szCs w:val="17"/>
                <w:lang w:eastAsia="es-AR"/>
              </w:rPr>
              <w:br/>
              <w:t xml:space="preserve">Yendo al Artículo, cabe señalar como primera reflexión, que mucho de la Ley Fundamental estará inspirado en Tratados Internacionales, aceptados por el sistema universal o en su caso el interamericano. </w:t>
            </w:r>
            <w:r w:rsidRPr="00EB097F">
              <w:rPr>
                <w:rFonts w:ascii="Arial" w:eastAsia="Times New Roman" w:hAnsi="Arial" w:cs="Arial"/>
                <w:color w:val="003399"/>
                <w:sz w:val="17"/>
                <w:szCs w:val="17"/>
                <w:lang w:eastAsia="es-AR"/>
              </w:rPr>
              <w:br/>
              <w:t xml:space="preserve">La sola lectura del Art. 4º 'Del Derecho a la Vida. El derecho a la vida es inherente a la persona humana. Se garantiza su protección, en general, desde la concepción...' La comparación con el Art. 4º de la Convención Americana de Derechos Humanos (Pacto de San José de Costa Rica) prueba este aserto. </w:t>
            </w:r>
            <w:r w:rsidRPr="00EB097F">
              <w:rPr>
                <w:rFonts w:ascii="Arial" w:eastAsia="Times New Roman" w:hAnsi="Arial" w:cs="Arial"/>
                <w:color w:val="003399"/>
                <w:sz w:val="17"/>
                <w:szCs w:val="17"/>
                <w:lang w:eastAsia="es-AR"/>
              </w:rPr>
              <w:br/>
              <w:t xml:space="preserve">'Estas transformaciones recientes han generado, a un mismo tiempo, un nuevo constitucionalismo así como una apertura a la internacionalización de los Derechos Humanos'. (La interacción entre el Derecho Internacional y el Derecho Interno en la protección de los Derechos Humanos -Antonio Cançado Trinidade. El juez y la defensa de la democracia. Página 236- C. de las Comunidades Europeas Instituto Interamericano de Derechos Humanos). </w:t>
            </w:r>
            <w:r w:rsidRPr="00EB097F">
              <w:rPr>
                <w:rFonts w:ascii="Arial" w:eastAsia="Times New Roman" w:hAnsi="Arial" w:cs="Arial"/>
                <w:color w:val="003399"/>
                <w:sz w:val="17"/>
                <w:szCs w:val="17"/>
                <w:lang w:eastAsia="es-AR"/>
              </w:rPr>
              <w:br/>
              <w:t xml:space="preserve">En el desarrollo de este trabajo, nos permitimos adoptar el orden de los artículos de la Constitución, aun a riesgo de perder cierta lógica. </w:t>
            </w:r>
            <w:r w:rsidRPr="00EB097F">
              <w:rPr>
                <w:rFonts w:ascii="Arial" w:eastAsia="Times New Roman" w:hAnsi="Arial" w:cs="Arial"/>
                <w:color w:val="003399"/>
                <w:sz w:val="17"/>
                <w:szCs w:val="17"/>
                <w:lang w:eastAsia="es-AR"/>
              </w:rPr>
              <w:br/>
              <w:t xml:space="preserve">Lo hacemos pensando en los alumnos de nuestras Facultades de Derecho. </w:t>
            </w:r>
            <w:r w:rsidRPr="00EB097F">
              <w:rPr>
                <w:rFonts w:ascii="Arial" w:eastAsia="Times New Roman" w:hAnsi="Arial" w:cs="Arial"/>
                <w:color w:val="003399"/>
                <w:sz w:val="17"/>
                <w:szCs w:val="17"/>
                <w:lang w:eastAsia="es-AR"/>
              </w:rPr>
              <w:br/>
              <w:t xml:space="preserve">Así el Art. 41 consagra: 'Todo paraguayo tiene derecho a residir en su Patria'. Los habitantes pueden transitar libremente por el territorio nacional, cambiar de domicilio o residencia, ausentarse de la República o volver a ella y, de acuerdo con la ley incorporar sus bienes al país o sacarlos de él. Las </w:t>
            </w:r>
            <w:r w:rsidRPr="00EB097F">
              <w:rPr>
                <w:rFonts w:ascii="Arial" w:eastAsia="Times New Roman" w:hAnsi="Arial" w:cs="Arial"/>
                <w:color w:val="003399"/>
                <w:sz w:val="17"/>
                <w:szCs w:val="17"/>
                <w:lang w:eastAsia="es-AR"/>
              </w:rPr>
              <w:lastRenderedPageBreak/>
              <w:t xml:space="preserve">migraciones serán reglamentada por la ley, con observancia de estos derechos. </w:t>
            </w:r>
            <w:r w:rsidRPr="00EB097F">
              <w:rPr>
                <w:rFonts w:ascii="Arial" w:eastAsia="Times New Roman" w:hAnsi="Arial" w:cs="Arial"/>
                <w:color w:val="003399"/>
                <w:sz w:val="17"/>
                <w:szCs w:val="17"/>
                <w:lang w:eastAsia="es-AR"/>
              </w:rPr>
              <w:br/>
              <w:t xml:space="preserve">El ingreso de los extranjeros sin radicación definitiva en el país será regulado por la ley, considerando los convenios internacionales sobre la materia. </w:t>
            </w:r>
            <w:r w:rsidRPr="00EB097F">
              <w:rPr>
                <w:rFonts w:ascii="Arial" w:eastAsia="Times New Roman" w:hAnsi="Arial" w:cs="Arial"/>
                <w:color w:val="003399"/>
                <w:sz w:val="17"/>
                <w:szCs w:val="17"/>
                <w:lang w:eastAsia="es-AR"/>
              </w:rPr>
              <w:br/>
              <w:t xml:space="preserve">Los extranjeros con radicación definitiva en el país no serán obligados a abandonarlo sino en virtud de sentencia judicial. </w:t>
            </w:r>
            <w:r w:rsidRPr="00EB097F">
              <w:rPr>
                <w:rFonts w:ascii="Arial" w:eastAsia="Times New Roman" w:hAnsi="Arial" w:cs="Arial"/>
                <w:color w:val="003399"/>
                <w:sz w:val="17"/>
                <w:szCs w:val="17"/>
                <w:lang w:eastAsia="es-AR"/>
              </w:rPr>
              <w:br/>
              <w:t xml:space="preserve">Tanta minuciosidad puede parecer contraria a la antigua técnica constitucional de las declaraciones generales. </w:t>
            </w:r>
            <w:r w:rsidRPr="00EB097F">
              <w:rPr>
                <w:rFonts w:ascii="Arial" w:eastAsia="Times New Roman" w:hAnsi="Arial" w:cs="Arial"/>
                <w:color w:val="003399"/>
                <w:sz w:val="17"/>
                <w:szCs w:val="17"/>
                <w:lang w:eastAsia="es-AR"/>
              </w:rPr>
              <w:br/>
              <w:t xml:space="preserve">Más los redactores parecían inspirados en la necesidad de poner término para siempre al exilio de tantos paraguayos, y a regular, al amparo del Derecho Internacional, el régimen de los extranjeros. </w:t>
            </w:r>
            <w:r w:rsidRPr="00EB097F">
              <w:rPr>
                <w:rFonts w:ascii="Arial" w:eastAsia="Times New Roman" w:hAnsi="Arial" w:cs="Arial"/>
                <w:color w:val="003399"/>
                <w:sz w:val="17"/>
                <w:szCs w:val="17"/>
                <w:lang w:eastAsia="es-AR"/>
              </w:rPr>
              <w:br/>
              <w:t xml:space="preserve">El Art. 43 consagra el Derecho de Asilo: 'El Paraguay reconoce el derecho de asilo territorial y diplomático...'. </w:t>
            </w:r>
            <w:r w:rsidRPr="00EB097F">
              <w:rPr>
                <w:rFonts w:ascii="Arial" w:eastAsia="Times New Roman" w:hAnsi="Arial" w:cs="Arial"/>
                <w:color w:val="003399"/>
                <w:sz w:val="17"/>
                <w:szCs w:val="17"/>
                <w:lang w:eastAsia="es-AR"/>
              </w:rPr>
              <w:br/>
              <w:t xml:space="preserve">En primer lugar, llama la atención que en este caso el Art. del Derecho de Asilo no se encuentra legislado en el Capítulo de las Relaciones Internacionales (Parte II, Cap.II) y sí en la Parte I, Título II - De los derechos, de los deberes y de las garantías, y en especial dentro del Cap. II De la libertad. </w:t>
            </w:r>
            <w:r w:rsidRPr="00EB097F">
              <w:rPr>
                <w:rFonts w:ascii="Arial" w:eastAsia="Times New Roman" w:hAnsi="Arial" w:cs="Arial"/>
                <w:color w:val="003399"/>
                <w:sz w:val="17"/>
                <w:szCs w:val="17"/>
                <w:lang w:eastAsia="es-AR"/>
              </w:rPr>
              <w:br/>
              <w:t xml:space="preserve">Que el Derecho de Asilo sea parte del derecho a la libertad, aparte de ser una innovación en el Derecho Constitucional, consagra una vez más la voluntad paraguaya de ratificar el asilo, como una de las piedras angulares de su política internacional. </w:t>
            </w:r>
            <w:r w:rsidRPr="00EB097F">
              <w:rPr>
                <w:rFonts w:ascii="Arial" w:eastAsia="Times New Roman" w:hAnsi="Arial" w:cs="Arial"/>
                <w:color w:val="003399"/>
                <w:sz w:val="17"/>
                <w:szCs w:val="17"/>
                <w:lang w:eastAsia="es-AR"/>
              </w:rPr>
              <w:br/>
              <w:t xml:space="preserve">Debe ser uno de los países que más Tratados internacionales en esta materia ha suscripto; obsérvese que hemos ratificado los Tratados de Montevideo de 1889, la Convención de La Habana de 1928, la de Montevideo de 1933 y las de Caracas, de Asilo territorial y Asilo diplomático, de 1954. </w:t>
            </w:r>
            <w:r w:rsidRPr="00EB097F">
              <w:rPr>
                <w:rFonts w:ascii="Arial" w:eastAsia="Times New Roman" w:hAnsi="Arial" w:cs="Arial"/>
                <w:color w:val="003399"/>
                <w:sz w:val="17"/>
                <w:szCs w:val="17"/>
                <w:lang w:eastAsia="es-AR"/>
              </w:rPr>
              <w:br/>
              <w:t xml:space="preserve">Por otra parte, hemos otorgado nuestra protección en horas difíciles a próceres como José Gervasio Artigas, y a ex-Presidentes como Carlos Ibáñez del Campo, Víctor Paz Estenssoro y Juan Domingo Perón. Todos ellos, años después de su asilo, volvieron a reasumir la Presidencia de la República al frente de sus respectivas naciones. El perseguido de hoy puede ser el héroe de mañana. </w:t>
            </w:r>
            <w:r w:rsidRPr="00EB097F">
              <w:rPr>
                <w:rFonts w:ascii="Arial" w:eastAsia="Times New Roman" w:hAnsi="Arial" w:cs="Arial"/>
                <w:color w:val="003399"/>
                <w:sz w:val="17"/>
                <w:szCs w:val="17"/>
                <w:lang w:eastAsia="es-AR"/>
              </w:rPr>
              <w:br/>
              <w:t xml:space="preserve">Salvo el defecto técnico de emplear la expresión 'delitos políticos', el Art. 43 se ajusta a la mejor tradición internacional del derecho que busca proteger. </w:t>
            </w:r>
            <w:r w:rsidRPr="00EB097F">
              <w:rPr>
                <w:rFonts w:ascii="Arial" w:eastAsia="Times New Roman" w:hAnsi="Arial" w:cs="Arial"/>
                <w:color w:val="003399"/>
                <w:sz w:val="17"/>
                <w:szCs w:val="17"/>
                <w:lang w:eastAsia="es-AR"/>
              </w:rPr>
              <w:br/>
              <w:t xml:space="preserve">La Constitución vuelve al tema internacional cuando en el Art. 122, 'De las materias que no podrán ser objeto de referéndum', consigna: 'No podrán ser objeto de referéndum: </w:t>
            </w:r>
            <w:r w:rsidRPr="00EB097F">
              <w:rPr>
                <w:rFonts w:ascii="Arial" w:eastAsia="Times New Roman" w:hAnsi="Arial" w:cs="Arial"/>
                <w:color w:val="003399"/>
                <w:sz w:val="17"/>
                <w:szCs w:val="17"/>
                <w:lang w:eastAsia="es-AR"/>
              </w:rPr>
              <w:br/>
              <w:t xml:space="preserve">1) Las relaciones internacionales, tratados, convenios o acuerdos internacionales...' </w:t>
            </w:r>
            <w:r w:rsidRPr="00EB097F">
              <w:rPr>
                <w:rFonts w:ascii="Arial" w:eastAsia="Times New Roman" w:hAnsi="Arial" w:cs="Arial"/>
                <w:color w:val="003399"/>
                <w:sz w:val="17"/>
                <w:szCs w:val="17"/>
                <w:lang w:eastAsia="es-AR"/>
              </w:rPr>
              <w:br/>
              <w:t xml:space="preserve">Surge claramente que los Constituyentes quisieron mantener la política exterior dentro de la órbita del Ejecutivo (Art. 328 C.M. Inc. 7) con el adecuado control del Congreso y no someterla a procedimientos de diplomacia directa. </w:t>
            </w:r>
            <w:r w:rsidRPr="00EB097F">
              <w:rPr>
                <w:rFonts w:ascii="Arial" w:eastAsia="Times New Roman" w:hAnsi="Arial" w:cs="Arial"/>
                <w:color w:val="003399"/>
                <w:sz w:val="17"/>
                <w:szCs w:val="17"/>
                <w:lang w:eastAsia="es-AR"/>
              </w:rPr>
              <w:br/>
              <w:t xml:space="preserve">En la Comisión Redactora, intentamos sin éxito que la Constitución sólo empleara el término Tratados basado en lo dispuesto por la Convención de Viena sobre Derecho de los Tratados de 1969 en su Art. 2. Términos empleados: </w:t>
            </w:r>
            <w:r w:rsidRPr="00EB097F">
              <w:rPr>
                <w:rFonts w:ascii="Arial" w:eastAsia="Times New Roman" w:hAnsi="Arial" w:cs="Arial"/>
                <w:color w:val="003399"/>
                <w:sz w:val="17"/>
                <w:szCs w:val="17"/>
                <w:lang w:eastAsia="es-AR"/>
              </w:rPr>
              <w:br/>
              <w:t xml:space="preserve">1. Para los efectos de la presente Convención: </w:t>
            </w:r>
            <w:r w:rsidRPr="00EB097F">
              <w:rPr>
                <w:rFonts w:ascii="Arial" w:eastAsia="Times New Roman" w:hAnsi="Arial" w:cs="Arial"/>
                <w:color w:val="003399"/>
                <w:sz w:val="17"/>
                <w:szCs w:val="17"/>
                <w:lang w:eastAsia="es-AR"/>
              </w:rPr>
              <w:br/>
              <w:t xml:space="preserve">a) Se entiende por 'Tratado' un acuerdo internacional celebrado por escrito entre Estados y regido por el Derecho Internacional, ya conste en un instrumento único o en dos o más instrumentos conexos y cualquiera que sea su denominación particular...' </w:t>
            </w:r>
            <w:r w:rsidRPr="00EB097F">
              <w:rPr>
                <w:rFonts w:ascii="Arial" w:eastAsia="Times New Roman" w:hAnsi="Arial" w:cs="Arial"/>
                <w:color w:val="003399"/>
                <w:sz w:val="17"/>
                <w:szCs w:val="17"/>
                <w:lang w:eastAsia="es-AR"/>
              </w:rPr>
              <w:br/>
              <w:t xml:space="preserve">Nuestra petición no prosperó, atendiendo a que la Convención citada rige las relaciones entre Estados y el país firma tratados con otros sujetos del Derecho Internacional. </w:t>
            </w:r>
            <w:r w:rsidRPr="00EB097F">
              <w:rPr>
                <w:rFonts w:ascii="Arial" w:eastAsia="Times New Roman" w:hAnsi="Arial" w:cs="Arial"/>
                <w:color w:val="003399"/>
                <w:sz w:val="17"/>
                <w:szCs w:val="17"/>
                <w:lang w:eastAsia="es-AR"/>
              </w:rPr>
              <w:br/>
              <w:t xml:space="preserve">Prelación de las Leyes </w:t>
            </w:r>
            <w:r w:rsidRPr="00EB097F">
              <w:rPr>
                <w:rFonts w:ascii="Arial" w:eastAsia="Times New Roman" w:hAnsi="Arial" w:cs="Arial"/>
                <w:color w:val="003399"/>
                <w:sz w:val="17"/>
                <w:szCs w:val="17"/>
                <w:lang w:eastAsia="es-AR"/>
              </w:rPr>
              <w:br/>
              <w:t xml:space="preserve">El Art. 137, cuando sostiene la supremacía de la Constitución, establece la prelación de las leyes. Su sola lectura es significativa: 'La ley suprema de la República es la Constitución. Esta, los tratados, convenios y acuerdos internacionales aprobados y ratificados, las leyes dictadas por el Congreso y otras disposiciones jurídicas de inferior jerarquía, sancionadas en consecuencia, integran el derecho positivo nacional en el orden de prelación enunciado...' </w:t>
            </w:r>
            <w:r w:rsidRPr="00EB097F">
              <w:rPr>
                <w:rFonts w:ascii="Arial" w:eastAsia="Times New Roman" w:hAnsi="Arial" w:cs="Arial"/>
                <w:color w:val="003399"/>
                <w:sz w:val="17"/>
                <w:szCs w:val="17"/>
                <w:lang w:eastAsia="es-AR"/>
              </w:rPr>
              <w:br/>
              <w:t xml:space="preserve">Como es clásica, los Tratados ocupan el segundo lugar, sólo cediendo ante la Carta Magna. La Constitución Nacional se introduce en el debate de si nuestro sistema acepta la tesis monista o dualista del Derecho. </w:t>
            </w:r>
            <w:r w:rsidRPr="00EB097F">
              <w:rPr>
                <w:rFonts w:ascii="Arial" w:eastAsia="Times New Roman" w:hAnsi="Arial" w:cs="Arial"/>
                <w:color w:val="003399"/>
                <w:sz w:val="17"/>
                <w:szCs w:val="17"/>
                <w:lang w:eastAsia="es-AR"/>
              </w:rPr>
              <w:br/>
              <w:t xml:space="preserve">Por la primera, por el solo hecho de ser aprobados por el Congreso y ratificados por los tratados ya forman parte del derecho positivo internacional. </w:t>
            </w:r>
            <w:r w:rsidRPr="00EB097F">
              <w:rPr>
                <w:rFonts w:ascii="Arial" w:eastAsia="Times New Roman" w:hAnsi="Arial" w:cs="Arial"/>
                <w:color w:val="003399"/>
                <w:sz w:val="17"/>
                <w:szCs w:val="17"/>
                <w:lang w:eastAsia="es-AR"/>
              </w:rPr>
              <w:br/>
              <w:t xml:space="preserve">La tesis dualista sostiene que aun después de su ratificación se necesita una ley que le incorpore al Derecho interno. </w:t>
            </w:r>
            <w:r w:rsidRPr="00EB097F">
              <w:rPr>
                <w:rFonts w:ascii="Arial" w:eastAsia="Times New Roman" w:hAnsi="Arial" w:cs="Arial"/>
                <w:color w:val="003399"/>
                <w:sz w:val="17"/>
                <w:szCs w:val="17"/>
                <w:lang w:eastAsia="es-AR"/>
              </w:rPr>
              <w:br/>
              <w:t xml:space="preserve">Nótese que en nuestra tradición parlamentaria, los tratados se aprueban con una Ley, y en nuestro medio no ha existido la discusión doctrinaria que sí tuvo lugar en otras latitudes, como por ejemplo en la Argentina. </w:t>
            </w:r>
            <w:r w:rsidRPr="00EB097F">
              <w:rPr>
                <w:rFonts w:ascii="Arial" w:eastAsia="Times New Roman" w:hAnsi="Arial" w:cs="Arial"/>
                <w:color w:val="003399"/>
                <w:sz w:val="17"/>
                <w:szCs w:val="17"/>
                <w:lang w:eastAsia="es-AR"/>
              </w:rPr>
              <w:br/>
              <w:t xml:space="preserve">Miguel Angel Ekmekdjian lo resume así: 'La Jurisprudencia de nuestra Corte Suprema de Justicia fue un tanto errática, aunque con predominio del dualismo, hasta el año 1992'. En dicho año, en el fallo dictado en la causa 'Ekmekdjian c/Sofovich', sostuvo las siguientes conclusiones: </w:t>
            </w:r>
            <w:r w:rsidRPr="00EB097F">
              <w:rPr>
                <w:rFonts w:ascii="Arial" w:eastAsia="Times New Roman" w:hAnsi="Arial" w:cs="Arial"/>
                <w:color w:val="003399"/>
                <w:sz w:val="17"/>
                <w:szCs w:val="17"/>
                <w:lang w:eastAsia="es-AR"/>
              </w:rPr>
              <w:br/>
              <w:t xml:space="preserve">a) Un tratado internacional aprobado por el Congreso, conforme al Art. 67, Inc. 19 de la Constitución Nacional, forma parte del derecho interno argentino sin necesidad de una ley especial que lo ponga en operatividad, conforme al Art. 27 de la Convención de Viena sobre Derecho de los Tratados (aprobada por nuestro país por la ley de facto 19.865); </w:t>
            </w:r>
            <w:r w:rsidRPr="00EB097F">
              <w:rPr>
                <w:rFonts w:ascii="Arial" w:eastAsia="Times New Roman" w:hAnsi="Arial" w:cs="Arial"/>
                <w:color w:val="003399"/>
                <w:sz w:val="17"/>
                <w:szCs w:val="17"/>
                <w:lang w:eastAsia="es-AR"/>
              </w:rPr>
              <w:br/>
              <w:t xml:space="preserve">b) Una ley del Congreso de fecha posterior al tratado no puede derogarlo, ya que un tratado sólo puede ser dejado sin efecto mediante la denuncia de éste, por alguna de las formas previstas por el Derecho </w:t>
            </w:r>
            <w:r w:rsidRPr="00EB097F">
              <w:rPr>
                <w:rFonts w:ascii="Arial" w:eastAsia="Times New Roman" w:hAnsi="Arial" w:cs="Arial"/>
                <w:color w:val="003399"/>
                <w:sz w:val="17"/>
                <w:szCs w:val="17"/>
                <w:lang w:eastAsia="es-AR"/>
              </w:rPr>
              <w:lastRenderedPageBreak/>
              <w:t xml:space="preserve">Internacional Público. Este criterio fue ratificado un año más tarde por la Corte Suprema de Justicia, en el fallo dictado en la causa 'Fibreca c/Comisión Técnica Mixta de Salto Grande' (Miguel Angel Ekmekdjian - Clarín - 12 de julio de 1994, página 13). </w:t>
            </w:r>
            <w:r w:rsidRPr="00EB097F">
              <w:rPr>
                <w:rFonts w:ascii="Arial" w:eastAsia="Times New Roman" w:hAnsi="Arial" w:cs="Arial"/>
                <w:color w:val="003399"/>
                <w:sz w:val="17"/>
                <w:szCs w:val="17"/>
                <w:lang w:eastAsia="es-AR"/>
              </w:rPr>
              <w:br/>
              <w:t xml:space="preserve">Para nosotros la cuestión se halla resuelta con la lectura del Art. 141 de la Ley Fundamental: 'Los tratados internacionales válidamente celebrados, aprobados por ley del Congreso, y cuyos instrumentos de ratificación fueran canjeados o depositados, forman parte del ordenamiento legal interno con la jerarquía que determina el artículo 137'. </w:t>
            </w:r>
            <w:r w:rsidRPr="00EB097F">
              <w:rPr>
                <w:rFonts w:ascii="Arial" w:eastAsia="Times New Roman" w:hAnsi="Arial" w:cs="Arial"/>
                <w:color w:val="003399"/>
                <w:sz w:val="17"/>
                <w:szCs w:val="17"/>
                <w:lang w:eastAsia="es-AR"/>
              </w:rPr>
              <w:br/>
              <w:t xml:space="preserve">Por todo lo expuesto y atendiendo que el Art. 143 'acepta el Derecho Internacional', los jueces pueden y deben aplicar el derecho internacional y el mismo forma parte de la legislación nacional. </w:t>
            </w:r>
            <w:r w:rsidRPr="00EB097F">
              <w:rPr>
                <w:rFonts w:ascii="Arial" w:eastAsia="Times New Roman" w:hAnsi="Arial" w:cs="Arial"/>
                <w:color w:val="003399"/>
                <w:sz w:val="17"/>
                <w:szCs w:val="17"/>
                <w:lang w:eastAsia="es-AR"/>
              </w:rPr>
              <w:br/>
              <w:t xml:space="preserve">La redacción técnica del Art. 141 emplea la palabra 'aprobación' para la aceptación del Congreso (Art. 202, Inc. 9 Constitución Nacional) y reserva la ratificación al Poder Ejecutivo, a cuyo cargo está el manejo de las Relaciones Internacionales. Concuerda en esto con lo mejor de la doctrina. </w:t>
            </w:r>
            <w:r w:rsidRPr="00EB097F">
              <w:rPr>
                <w:rFonts w:ascii="Arial" w:eastAsia="Times New Roman" w:hAnsi="Arial" w:cs="Arial"/>
                <w:color w:val="003399"/>
                <w:sz w:val="17"/>
                <w:szCs w:val="17"/>
                <w:lang w:eastAsia="es-AR"/>
              </w:rPr>
              <w:br/>
              <w:t xml:space="preserve">Los tratados de derechos humanos </w:t>
            </w:r>
            <w:r w:rsidRPr="00EB097F">
              <w:rPr>
                <w:rFonts w:ascii="Arial" w:eastAsia="Times New Roman" w:hAnsi="Arial" w:cs="Arial"/>
                <w:color w:val="003399"/>
                <w:sz w:val="17"/>
                <w:szCs w:val="17"/>
                <w:lang w:eastAsia="es-AR"/>
              </w:rPr>
              <w:br/>
              <w:t xml:space="preserve">El Art. 142 establece una limitación constitucional a la denuncia de los tratados. Su texto es claro: 'Los tratados internacionales relativos a los derechos humanos no podrán ser denunciados sino por los procedimientos que rigen para la enmienda de esta Constitución'. </w:t>
            </w:r>
            <w:r w:rsidRPr="00EB097F">
              <w:rPr>
                <w:rFonts w:ascii="Arial" w:eastAsia="Times New Roman" w:hAnsi="Arial" w:cs="Arial"/>
                <w:color w:val="003399"/>
                <w:sz w:val="17"/>
                <w:szCs w:val="17"/>
                <w:lang w:eastAsia="es-AR"/>
              </w:rPr>
              <w:br/>
              <w:t xml:space="preserve">La enmienda de la Constitución, de conformidad a lo previsto en el Art. 290, sólo puede ser aprobada por mayoría absoluta en ambas Cámaras. Si se alcanzara la mayoría prevista, se remitiría la enmienda al Tribunal Superior de Justicia Electoral, para la convocatoria de un referéndum. </w:t>
            </w:r>
            <w:r w:rsidRPr="00EB097F">
              <w:rPr>
                <w:rFonts w:ascii="Arial" w:eastAsia="Times New Roman" w:hAnsi="Arial" w:cs="Arial"/>
                <w:color w:val="003399"/>
                <w:sz w:val="17"/>
                <w:szCs w:val="17"/>
                <w:lang w:eastAsia="es-AR"/>
              </w:rPr>
              <w:br/>
              <w:t xml:space="preserve">Es evidente la intención de los legisladores de ubicar en un plano superior a los Tratados de Derechos Humanos. </w:t>
            </w:r>
            <w:r w:rsidRPr="00EB097F">
              <w:rPr>
                <w:rFonts w:ascii="Arial" w:eastAsia="Times New Roman" w:hAnsi="Arial" w:cs="Arial"/>
                <w:color w:val="003399"/>
                <w:sz w:val="17"/>
                <w:szCs w:val="17"/>
                <w:lang w:eastAsia="es-AR"/>
              </w:rPr>
              <w:br/>
              <w:t xml:space="preserve">Concuerdan en este punto con la doctrina sustentada por la Constitución Española de 1978 (Art. 92 (2) y 94 (1) (c)); con el Art. 105 de la Constitución Peruana del mismo año, hoy derogada por el golpe de Fujimori, así como con la de Guatemala en su Art. 46. También con la de Nicaragua de 1987, Art. 96 y la de Colombia Art. 93. </w:t>
            </w:r>
            <w:r w:rsidRPr="00EB097F">
              <w:rPr>
                <w:rFonts w:ascii="Arial" w:eastAsia="Times New Roman" w:hAnsi="Arial" w:cs="Arial"/>
                <w:color w:val="003399"/>
                <w:sz w:val="17"/>
                <w:szCs w:val="17"/>
                <w:lang w:eastAsia="es-AR"/>
              </w:rPr>
              <w:br/>
              <w:t xml:space="preserve">La Constituyente argentina, reunida mientras se escribe estas líneas, también ha otorgado jerarquía constitucional a los tratados de Derechos Humanos. </w:t>
            </w:r>
            <w:r w:rsidRPr="00EB097F">
              <w:rPr>
                <w:rFonts w:ascii="Arial" w:eastAsia="Times New Roman" w:hAnsi="Arial" w:cs="Arial"/>
                <w:color w:val="003399"/>
                <w:sz w:val="17"/>
                <w:szCs w:val="17"/>
                <w:lang w:eastAsia="es-AR"/>
              </w:rPr>
              <w:br/>
              <w:t xml:space="preserve">Nada más importante para los paraguayos, atendiendo a su pasado reciente, que el avance del Derecho Internacional de los Derechos Humanos alcance rango constitucional. </w:t>
            </w:r>
            <w:r w:rsidRPr="00EB097F">
              <w:rPr>
                <w:rFonts w:ascii="Arial" w:eastAsia="Times New Roman" w:hAnsi="Arial" w:cs="Arial"/>
                <w:color w:val="003399"/>
                <w:sz w:val="17"/>
                <w:szCs w:val="17"/>
                <w:lang w:eastAsia="es-AR"/>
              </w:rPr>
              <w:br/>
              <w:t xml:space="preserve">De las relaciones internacionales </w:t>
            </w:r>
            <w:r w:rsidRPr="00EB097F">
              <w:rPr>
                <w:rFonts w:ascii="Arial" w:eastAsia="Times New Roman" w:hAnsi="Arial" w:cs="Arial"/>
                <w:color w:val="003399"/>
                <w:sz w:val="17"/>
                <w:szCs w:val="17"/>
                <w:lang w:eastAsia="es-AR"/>
              </w:rPr>
              <w:br/>
              <w:t xml:space="preserve">El Art. 143 enumera los principios a los cuales debe ajustarse nuestra conducta. La sola lectura de los mismos nos exime de todo comentario. Son los postulados básicos del modo de insertarse en la sociedad civilizada. </w:t>
            </w:r>
            <w:r w:rsidRPr="00EB097F">
              <w:rPr>
                <w:rFonts w:ascii="Arial" w:eastAsia="Times New Roman" w:hAnsi="Arial" w:cs="Arial"/>
                <w:color w:val="003399"/>
                <w:sz w:val="17"/>
                <w:szCs w:val="17"/>
                <w:lang w:eastAsia="es-AR"/>
              </w:rPr>
              <w:br/>
              <w:t xml:space="preserve">Vale la pena enumerarlos, como modo de reafirmarlos permanentemente: </w:t>
            </w:r>
            <w:r w:rsidRPr="00EB097F">
              <w:rPr>
                <w:rFonts w:ascii="Arial" w:eastAsia="Times New Roman" w:hAnsi="Arial" w:cs="Arial"/>
                <w:color w:val="003399"/>
                <w:sz w:val="17"/>
                <w:szCs w:val="17"/>
                <w:lang w:eastAsia="es-AR"/>
              </w:rPr>
              <w:br/>
              <w:t xml:space="preserve">' 1) la independencia nacional; </w:t>
            </w:r>
            <w:r w:rsidRPr="00EB097F">
              <w:rPr>
                <w:rFonts w:ascii="Arial" w:eastAsia="Times New Roman" w:hAnsi="Arial" w:cs="Arial"/>
                <w:color w:val="003399"/>
                <w:sz w:val="17"/>
                <w:szCs w:val="17"/>
                <w:lang w:eastAsia="es-AR"/>
              </w:rPr>
              <w:br/>
              <w:t xml:space="preserve">2) la autodeterminación de los pueblos; </w:t>
            </w:r>
            <w:r w:rsidRPr="00EB097F">
              <w:rPr>
                <w:rFonts w:ascii="Arial" w:eastAsia="Times New Roman" w:hAnsi="Arial" w:cs="Arial"/>
                <w:color w:val="003399"/>
                <w:sz w:val="17"/>
                <w:szCs w:val="17"/>
                <w:lang w:eastAsia="es-AR"/>
              </w:rPr>
              <w:br/>
              <w:t xml:space="preserve">3) la igualdad jurídica entre los Estados; </w:t>
            </w:r>
            <w:r w:rsidRPr="00EB097F">
              <w:rPr>
                <w:rFonts w:ascii="Arial" w:eastAsia="Times New Roman" w:hAnsi="Arial" w:cs="Arial"/>
                <w:color w:val="003399"/>
                <w:sz w:val="17"/>
                <w:szCs w:val="17"/>
                <w:lang w:eastAsia="es-AR"/>
              </w:rPr>
              <w:br/>
              <w:t xml:space="preserve">4) la solidaridad y la cooperación internacional; </w:t>
            </w:r>
            <w:r w:rsidRPr="00EB097F">
              <w:rPr>
                <w:rFonts w:ascii="Arial" w:eastAsia="Times New Roman" w:hAnsi="Arial" w:cs="Arial"/>
                <w:color w:val="003399"/>
                <w:sz w:val="17"/>
                <w:szCs w:val="17"/>
                <w:lang w:eastAsia="es-AR"/>
              </w:rPr>
              <w:br/>
              <w:t xml:space="preserve">5) la protección internacional de los derechos humanos; </w:t>
            </w:r>
            <w:r w:rsidRPr="00EB097F">
              <w:rPr>
                <w:rFonts w:ascii="Arial" w:eastAsia="Times New Roman" w:hAnsi="Arial" w:cs="Arial"/>
                <w:color w:val="003399"/>
                <w:sz w:val="17"/>
                <w:szCs w:val="17"/>
                <w:lang w:eastAsia="es-AR"/>
              </w:rPr>
              <w:br/>
              <w:t xml:space="preserve">6) la libre navegación de los ríos internacionales; </w:t>
            </w:r>
            <w:r w:rsidRPr="00EB097F">
              <w:rPr>
                <w:rFonts w:ascii="Arial" w:eastAsia="Times New Roman" w:hAnsi="Arial" w:cs="Arial"/>
                <w:color w:val="003399"/>
                <w:sz w:val="17"/>
                <w:szCs w:val="17"/>
                <w:lang w:eastAsia="es-AR"/>
              </w:rPr>
              <w:br/>
              <w:t xml:space="preserve">7) la no intervención, y </w:t>
            </w:r>
            <w:r w:rsidRPr="00EB097F">
              <w:rPr>
                <w:rFonts w:ascii="Arial" w:eastAsia="Times New Roman" w:hAnsi="Arial" w:cs="Arial"/>
                <w:color w:val="003399"/>
                <w:sz w:val="17"/>
                <w:szCs w:val="17"/>
                <w:lang w:eastAsia="es-AR"/>
              </w:rPr>
              <w:br/>
              <w:t xml:space="preserve">8) la condena a toda forma de dictadura, colonialismo e imperialismo'. </w:t>
            </w:r>
            <w:r w:rsidRPr="00EB097F">
              <w:rPr>
                <w:rFonts w:ascii="Arial" w:eastAsia="Times New Roman" w:hAnsi="Arial" w:cs="Arial"/>
                <w:color w:val="003399"/>
                <w:sz w:val="17"/>
                <w:szCs w:val="17"/>
                <w:lang w:eastAsia="es-AR"/>
              </w:rPr>
              <w:br/>
              <w:t xml:space="preserve">De la renuncia a la guerra </w:t>
            </w:r>
            <w:r w:rsidRPr="00EB097F">
              <w:rPr>
                <w:rFonts w:ascii="Arial" w:eastAsia="Times New Roman" w:hAnsi="Arial" w:cs="Arial"/>
                <w:color w:val="003399"/>
                <w:sz w:val="17"/>
                <w:szCs w:val="17"/>
                <w:lang w:eastAsia="es-AR"/>
              </w:rPr>
              <w:br/>
              <w:t xml:space="preserve">Un país como el Paraguay, el único del continente en que todas sus fronteras fueron trazadas tras cruentas guerras internacionales, alcanza los más altos estadios del espíritu humano cuando en su texto fundamental incorpora el Art. 144: 'La República del Paraguay renuncia a la guerra, pero sustenta el principio de la legítima defensa. Esta declaración es compatible con los derechos y obligaciones del Paraguay en su carácter de miembro de la Organización de las Naciones Unidas y de la Organización de Estados Americanos, o como parte en tratados de integración'. </w:t>
            </w:r>
            <w:r w:rsidRPr="00EB097F">
              <w:rPr>
                <w:rFonts w:ascii="Arial" w:eastAsia="Times New Roman" w:hAnsi="Arial" w:cs="Arial"/>
                <w:color w:val="003399"/>
                <w:sz w:val="17"/>
                <w:szCs w:val="17"/>
                <w:lang w:eastAsia="es-AR"/>
              </w:rPr>
              <w:br/>
              <w:t xml:space="preserve">El mismo se halla en concordancia con el Art. 238: 'Son deberes y atribuciones de quien ejerce la presidencia de la República' Inc. 7, '...En caso de agresión externa y previa autorización del Congreso, declarar el Estado de Defensa Nacional o concertar la paz...' </w:t>
            </w:r>
            <w:r w:rsidRPr="00EB097F">
              <w:rPr>
                <w:rFonts w:ascii="Arial" w:eastAsia="Times New Roman" w:hAnsi="Arial" w:cs="Arial"/>
                <w:color w:val="003399"/>
                <w:sz w:val="17"/>
                <w:szCs w:val="17"/>
                <w:lang w:eastAsia="es-AR"/>
              </w:rPr>
              <w:br/>
              <w:t xml:space="preserve">Supranacionalidad </w:t>
            </w:r>
            <w:r w:rsidRPr="00EB097F">
              <w:rPr>
                <w:rFonts w:ascii="Arial" w:eastAsia="Times New Roman" w:hAnsi="Arial" w:cs="Arial"/>
                <w:color w:val="003399"/>
                <w:sz w:val="17"/>
                <w:szCs w:val="17"/>
                <w:lang w:eastAsia="es-AR"/>
              </w:rPr>
              <w:br/>
              <w:t xml:space="preserve">La Constitución admite que el Paraguay sea parte de Tratados de Integración y a través de su texto queda abierta la posibilidad de cesión de competencia a órganos supranacionales. </w:t>
            </w:r>
            <w:r w:rsidRPr="00EB097F">
              <w:rPr>
                <w:rFonts w:ascii="Arial" w:eastAsia="Times New Roman" w:hAnsi="Arial" w:cs="Arial"/>
                <w:color w:val="003399"/>
                <w:sz w:val="17"/>
                <w:szCs w:val="17"/>
                <w:lang w:eastAsia="es-AR"/>
              </w:rPr>
              <w:br/>
              <w:t xml:space="preserve">La construcción del Mercosur, tarde o temprano, llevará a la creación de instituciones que irán conformando el derecho comunitario que nos regirá. </w:t>
            </w:r>
            <w:r w:rsidRPr="00EB097F">
              <w:rPr>
                <w:rFonts w:ascii="Arial" w:eastAsia="Times New Roman" w:hAnsi="Arial" w:cs="Arial"/>
                <w:color w:val="003399"/>
                <w:sz w:val="17"/>
                <w:szCs w:val="17"/>
                <w:lang w:eastAsia="es-AR"/>
              </w:rPr>
              <w:br/>
              <w:t xml:space="preserve">Por ello fue sabio prever ya desde el Derecho Constitucional el futuro y crear las condiciones de admisibilidad para la República - Art. 145: 'La República del Paraguay, en condiciones de igualdad con otros Estados, admite un orden jurídico supranacional que garantice la vigencia de los derechos humanos, de la paz, de la justicia, de cooperación y del desarrollo, en lo político, económico, social y cultural. </w:t>
            </w:r>
            <w:r w:rsidRPr="00EB097F">
              <w:rPr>
                <w:rFonts w:ascii="Arial" w:eastAsia="Times New Roman" w:hAnsi="Arial" w:cs="Arial"/>
                <w:color w:val="003399"/>
                <w:sz w:val="17"/>
                <w:szCs w:val="17"/>
                <w:lang w:eastAsia="es-AR"/>
              </w:rPr>
              <w:br/>
              <w:t xml:space="preserve">Dichas decisiones sólo podrán adoptarse por mayoría absoluta de cada Cámara del Congreso'. </w:t>
            </w:r>
            <w:r w:rsidRPr="00EB097F">
              <w:rPr>
                <w:rFonts w:ascii="Arial" w:eastAsia="Times New Roman" w:hAnsi="Arial" w:cs="Arial"/>
                <w:color w:val="003399"/>
                <w:sz w:val="17"/>
                <w:szCs w:val="17"/>
                <w:lang w:eastAsia="es-AR"/>
              </w:rPr>
              <w:br/>
              <w:t xml:space="preserve">La necesaria mayoría absoluta en Senadores y Diputados otorga mayor seguridad política a trascendentes pasos del país. </w:t>
            </w:r>
            <w:r w:rsidRPr="00EB097F">
              <w:rPr>
                <w:rFonts w:ascii="Arial" w:eastAsia="Times New Roman" w:hAnsi="Arial" w:cs="Arial"/>
                <w:color w:val="003399"/>
                <w:sz w:val="17"/>
                <w:szCs w:val="17"/>
                <w:lang w:eastAsia="es-AR"/>
              </w:rPr>
              <w:br/>
              <w:t xml:space="preserve">De la autorización a las fuerzas militares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 xml:space="preserve">La Constitución reglamenta la salida de tropas paraguayas y la entrada de tropas extranjeras. </w:t>
            </w:r>
            <w:r w:rsidRPr="00EB097F">
              <w:rPr>
                <w:rFonts w:ascii="Arial" w:eastAsia="Times New Roman" w:hAnsi="Arial" w:cs="Arial"/>
                <w:color w:val="003399"/>
                <w:sz w:val="17"/>
                <w:szCs w:val="17"/>
                <w:lang w:eastAsia="es-AR"/>
              </w:rPr>
              <w:br/>
              <w:t xml:space="preserve">Cae en un error, porque el punto está legislado entre las atribuciones del Congreso (Art. 183, Inc. 3) y entre las atribuciones exclusivas de la Cámara de Senadores (Art. 224, Inc. 5). </w:t>
            </w:r>
            <w:r w:rsidRPr="00EB097F">
              <w:rPr>
                <w:rFonts w:ascii="Arial" w:eastAsia="Times New Roman" w:hAnsi="Arial" w:cs="Arial"/>
                <w:color w:val="003399"/>
                <w:sz w:val="17"/>
                <w:szCs w:val="17"/>
                <w:lang w:eastAsia="es-AR"/>
              </w:rPr>
              <w:br/>
              <w:t xml:space="preserve">El Senado ha venido autorizando la presencia de tropas extranjeras en el territorio paraguayo y salvo algunas opiniones de parlamentarios, ésa es la interpretación que parece imponerse. </w:t>
            </w:r>
            <w:r w:rsidRPr="00EB097F">
              <w:rPr>
                <w:rFonts w:ascii="Arial" w:eastAsia="Times New Roman" w:hAnsi="Arial" w:cs="Arial"/>
                <w:color w:val="003399"/>
                <w:sz w:val="17"/>
                <w:szCs w:val="17"/>
                <w:lang w:eastAsia="es-AR"/>
              </w:rPr>
              <w:br/>
              <w:t xml:space="preserve">A manera de conclusión </w:t>
            </w:r>
            <w:r w:rsidRPr="00EB097F">
              <w:rPr>
                <w:rFonts w:ascii="Arial" w:eastAsia="Times New Roman" w:hAnsi="Arial" w:cs="Arial"/>
                <w:color w:val="003399"/>
                <w:sz w:val="17"/>
                <w:szCs w:val="17"/>
                <w:lang w:eastAsia="es-AR"/>
              </w:rPr>
              <w:br/>
              <w:t xml:space="preserve">Este trabajo fue escrito lejos del Paraguay, y nos ha permitido una doble satisfacción. La primera, tener la esperanza de que sirva de base a un estudio más profundo y completo, escrito por plumas más autorizadas. </w:t>
            </w:r>
            <w:r w:rsidRPr="00EB097F">
              <w:rPr>
                <w:rFonts w:ascii="Arial" w:eastAsia="Times New Roman" w:hAnsi="Arial" w:cs="Arial"/>
                <w:color w:val="003399"/>
                <w:sz w:val="17"/>
                <w:szCs w:val="17"/>
                <w:lang w:eastAsia="es-AR"/>
              </w:rPr>
              <w:br/>
              <w:t xml:space="preserve">La segunda, que en las páginas de la Constitución está el fundamento de la gran política exterior de la Nación paraguaya. </w:t>
            </w:r>
            <w:r w:rsidRPr="00EB097F">
              <w:rPr>
                <w:rFonts w:ascii="Arial" w:eastAsia="Times New Roman" w:hAnsi="Arial" w:cs="Arial"/>
                <w:color w:val="003399"/>
                <w:sz w:val="17"/>
                <w:szCs w:val="17"/>
                <w:lang w:eastAsia="es-AR"/>
              </w:rPr>
              <w:br/>
              <w:t xml:space="preserve">En la consolidación del ordenamiento constitucional, podremos mirar el mundo para aprender de él y ayudar a construirlo, dando por cierto que los paraguayos al escribir una nueva Constitución, pensaron no sólo en sí mismos sino en que son parte de una aventura maravillosa que se denomina la construcción de la Tierra.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4" w:name="14"/>
            <w:bookmarkEnd w:id="14"/>
            <w:r w:rsidRPr="00EB097F">
              <w:rPr>
                <w:rFonts w:ascii="Arial" w:eastAsia="Times New Roman" w:hAnsi="Arial" w:cs="Arial"/>
                <w:b/>
                <w:bCs/>
                <w:color w:val="009933"/>
                <w:sz w:val="20"/>
                <w:szCs w:val="20"/>
                <w:lang w:eastAsia="es-AR"/>
              </w:rPr>
              <w:t>"LA CREACIÓN POR LA ORGANIZACIÓN DE LAS NACIONES UNIDAS DE UN TRIBUNAL PENAL INTERNACIONAL PARA LA ANTIGUA YUGOSLAVIA: ¿UN FRACASO DEL SISTEMA DE SEGURIDAD COLECTIVA?"</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Juan Bautista Delgado Canovas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 Internacional Publico y Relaciones Internacionales</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39"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I. Introducción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situación en la antigua Yugoslavia ha dado lugar a una intensa actividad legislativa en el seno de la Organización de las Naciones Unidas. Dicha actividad ha generado importantes progresos en el ámbito del Derecho Internacional Público. De entre ellos, es de destacar la creación por el Consejo de Seguridad de un Tribunal Internacional para el enjuiciamiento de las violaciones del Derecho Internacional Humanitario cometidas en la ex Yugoslavia.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base jurídica utilizada para este fin han sido las resoluciones 808 (1993), del 22 de febrero y la 827 (1993), del 25 de mayo. En ellas, el Consejo decidió respectivamente la creación, por un lado, de 'un Tribunal Internacional para el enjuiciamiento de los presuntos responsables de las violaciones graves del Derecho Internacional Humanitario cometidas en el territorio de la ex Yugoslavia desde 1991', y por otro la adopción del Estatuto de dicho Tribunal.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 entre los múltiples e interesantes aspectos jurídicos y políticos, todos ellos de rigurosa actualidad, este artículo analizará el significado del procedimiento formal de creación del Tribunal. Este no ha estado exento de polémica, y aunque la trascendencia de la cuestión y la exigencia de respetar la legalidad internacional produjeron controversias entre los Estados y la doctrina tampoco ha sido unánime al considerar la base jurídica y el instrumento legal utilizados.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II. El marco de creación del Tribunal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primera cuestión que surgió a la hora de decidir la creación el Tribunal fue la de elegir el marco institucional en el que vería la luz. En un principio, los Estados dudaban entre un contexto europeo (CSCE o Consejo de Europa) o un contexto mundial (Naciones Unidas).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Gracias a la iniciativa francesa, fue el Consejo de Seguridad de las naciones Unidas quien adoptó la resolución creadora de un Tribunal Penal Internacional 'ad hoc' para la ex Yugoslavia. Ello no hacía sino </w:t>
            </w:r>
            <w:r w:rsidRPr="00EB097F">
              <w:rPr>
                <w:rFonts w:ascii="Arial" w:eastAsia="Times New Roman" w:hAnsi="Arial" w:cs="Arial"/>
                <w:color w:val="003399"/>
                <w:sz w:val="17"/>
                <w:szCs w:val="17"/>
                <w:lang w:eastAsia="es-AR"/>
              </w:rPr>
              <w:lastRenderedPageBreak/>
              <w:t>reflejar la opinión de los comités de expertos penalistas e internacionalistas de Francia e Italia.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elección final ha de ser considerada como sumamente acertada teniendo en cuenta las circunstancias concretas que han dado lugar a su nacimiento y sus objetivos. Y ello por un doble motivo. Por una razón de representatividad, en primer término, ya que las Naciones Unidas constituyen la organización más representativa de la comunidad internacional y, por consiguiente, el marco más adecuado para la creación el Tribunal. Y por una razón de efectividad, en segundo lugar, porque si la CSCE o el Consejo de Europa tenía que actuar por la vía de la concertación interestatal a través de un tratado multilateral, las Naciones Unidas se pueden permitir la creación del Tribunal por vía de autoridad mediante una resolución obligatoria del Consejo de Seguridad.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III. La base legal para el establecimiento del Tribunal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3.1) Introducción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tema del instrumento creador del Tribunal, tratado hasta la saciedad en los documentos preparatorios, fue uno de los más complejos y la casi total unanimidad que se observa a la hora de optar por la vía de una resolución del Consejo de Seguridad, no exime de analizar detenidamente esta cuestión.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Su respuesta venía en gran manera determinada por el hecho de que el futuro tribunal habría de conocer exclusivamente de las violaciones del Derecho Internacional Humanitario acaecidas en el conflicto de la ex Yugoslavia. Es decir, se planteaban condicionantes de carácter material, espacial y temporal. Por un lado, como ha quedado dicho, el haz de delitos y crímenes internacionales a enjuiciar iba a quedar desde un principio limitado. Por otro, el futuro tribunal habría de conocer únicamente de aquellos delitos cometidos en el conflicto de la ex Yugoslavia desde una fecha a determinar.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opciones reales eran dos: tratado o resolución. Analicemos detenidamente ambas posibilidades.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3.2) La vía convencional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creación del tribunal mediante la concertación de un tratado internacional celebrado por Estados es una de las hipótesis que se plantean espontáneamente por diversas razones: en primer lugar, porque es el camino que se ha seguido en el caso del principal precedente que se puede verdaderamente invocar, el Acuerdo de Londres del 8 de agosto de 1945, para el procedimiento y castigo de los mayores criminales de guerra del Eje europeo, que creó el Tribunal de Nuremberg, y, en segundo lugar, porque la creación de jurisdicción se relaciona estrechamente con la soberanía de los Estados. Cabe señalar desde este punto de vista que, en todas las deliberaciones que se han sostenido en el marco de las Naciones Unidas, especialmente en los últimos dos años respecto del tema del establecimiento de una jurisdicción penal internacional con alcance universal, se consideró que la vía normal sería la celebración de un tratado.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las razones esgrimidas podríamos añadir la de que el uso de la vía convencional se plantea igualmente por una simple razón de legitimidad. Y no es que una resolución del Consejo de Seguridad carezca de ella, sino que indudablemente la prestación del consentimiento por parte del conjunto de Estados que componen la comunidad internacional a un tratado creador del Tribunal le dotaría de un valor sin precedente y, muy probablemente, de una mayor efectividad.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Es, no obstante, claro que la creación e un tribunal penal especial mediante un tratado entre Estados tropezaría con dificultades tan graves que, casi con toda certeza, se puede considerar que serían impedimentos definitivos: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idea de recurrir a un tratado plantea en primer lugar la cuestión de saber qué Estados podría o deberían firmar y ratificar el tratado en cuestión. Aparte de la hipótesis irreal de que la creación del tribunal derivaría de una ratificación por la totalidad de los Estados miembros de la Organización de las Naciones Unidas, la cuestión de los Estados signatarios plantea efectivamente una cuestión tanto filosófica como jurídica, la de saber quién, y en nombre de qué principio, puede recibir u otorgar la competencia de crear un tribunal encargado de enjuiciar crímenes, por odiosos que sean, que han tenido lugar en algunos países, varios de los cuales, posiblemente, se negarían a firmar y ratificar el tratado en cuestión.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Cualquiera que sea la ubicación geográfica o el número de Estados a los cuales se reconocería el derecho de crear un tribunal penal internacional, sería poco pragmático esperar que la totalidad de ellos ratificara el acuerdo que supuestamente se concertaría. Sería necesario, por lo tanto, definir el número de Estados cuyo acuerdo sería indispensable, es decir, en términos técnicos, el número de Estados cuya ratificación debería obtenerse para que el tratado entrara en vigor.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Por otra parte, cabe temer lo prolongado de la negociación internacional y de la conferencia diplomática </w:t>
            </w:r>
            <w:r w:rsidRPr="00EB097F">
              <w:rPr>
                <w:rFonts w:ascii="Arial" w:eastAsia="Times New Roman" w:hAnsi="Arial" w:cs="Arial"/>
                <w:color w:val="003399"/>
                <w:sz w:val="17"/>
                <w:szCs w:val="17"/>
                <w:lang w:eastAsia="es-AR"/>
              </w:rPr>
              <w:lastRenderedPageBreak/>
              <w:t>que debería realizarse antes de llegar a un acuerdo susceptible de abrirse a la firma de los Estados con buenas probabilidades de éxito, en circunstancias que el plazo necesario para su ratificación retrasaría todavía más su entrada en vigor.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Finalmente, surge la cuestión de dilucidar si sería necesario que los Estados de la nacionalidad de los acusados o aquellos en cuyo territorio se han perpetrado los crímenes, es decir, las repúblicas ex yugoslavas, ratifiquen el tratado para que el tribunal pudieses funcionar.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Señalemos que, entre los proyectos presentados sólo el elaborado en el marco CSCE preveía la creación del tribunal por tratado. Sin embargo, el embajador Corell parece haber posteriormente tomado partido por la posición mayoritaria. Del resumen del informe Corell se deduce que tal tratado contaría con el asentimiento de Croacia y Bosnia-Herzegovina, Estados que solicitaron el apoyo internacional a la creación del tribunal. Así, en el marco de la CSCE y con el consentimiento de estos dos Estados, se podrían salvar parte de las dificultades que la opción de la ceración mediante tratado planteaba según los argumentos anteriormente expuestos, ya que al menos dos Estados afectados accederían al establecimiento del tribunal y, por otra parte, como adelantábamos en otro apartado de este artículo, sería innegablemente menos complejo conseguir la ratificación por un amplio número de Estados en el marco de la CSCE que en el de Naciones Unidas.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informe del Secretario General consagró toda su sección I a esta cuestión. En vista de las desventajas de la vía convencional en teste caso concreto y de la necesidad indicada en la resolución 808 (1993) de que la decisión de establecer un Tribunal se aplicase con eficacia y rapidez, el Secretario General consideró que el Tribunal Internacional debía establecerse mediante una decisión adoptada por el Consejo de Seguridad sobra la base del Capítulo VII de la Carta de Naciones Unidas. Esa decisión, como indica el Secretario General en su informe, 'sería una medida para mantener o restablecer la paz y la seguridad internacionales luego de determinar la existencia de una amenaza para la paz, un quebrantamiento de la paz o un acto de agresión'. Del mismo modo, continúa, 'tendría la ventaja de ser rápido y tener efecto inmediato porque todos los Estados estarían obligados a tomar cualquier medida que fuese necesaria para aplicar una decisión adoptada con arreglo al Capítulo VII para hacer efectivas las decisiones del Consejo. No le falta razón al Secretario General, puesto que las medidas adoptadas en virtud del Capítulo VII de la Carta han pasado a ser obligatorias para todos los Estados, miembros o no miembros, de las Naciones unidas, según los artículo 25, 28, 2.5 y 2.6 de la propia Carta.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3.3) Una resolución del Consejo de Seguridad de las Naciones Unidas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hemos visto, el camino del acuerdo interestatal parece estar sembrado de dificultades de principio y de obstáculos técnicos. Pero como hemos adelantado, otra solución era concebible: la de las Naciones Unidas. En su informe, el Secretario General considera que el establecimiento del Tribunal Internacional mediante una decisión basada en el Capítulo VII tendría justificación legal tanto respecto del objeto y el propósito de la decisión como de la práctica anterior del Consejo de Seguridad. Y con esta afirmación hemos llegado a una de las cuestiones esenciales de nuestro análisis: ¿constituye el Capítulo VII de la Carta de las Naciones Unidas una base jurídica suficiente par ala creación de un Tribunal Penal Internacional, para el enjuiciamiento de los crímenes de guerra cometidos en el territorio de la antigua Yugoslavia?.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IV. La opción final por una decisión del Consejo de Seguridad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hecho de que el Consejo de Seguridad se decidiese a crear el Tribunal Penal Internacional en cuestión por medio de las Resoluciones 808(1993) y 827(1993) supone que de los distintos procedimientos susceptibles de utilizarse para su establecimiento, se ha elegido no sólo el más simple y rápido sino, al mismo tiempo, el más audaz. Por este motivo resulta de interés valorar el alcance jurídico de dichas resoluciones y tomar posiciones ante las argumentaciones de carácter técnico-jurídico que podrían eventualmente suscitar los Estados políticamente interesados en poner en tela de juicio el fundamento jurídico del Tribunal. Desde un punto de vista operativo, tal exigencia ha de traducirse en un estudio particularmente atento de la capacidad del Consejo de Seguridad para adoptar semejante medida.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4.1) La calificación conforme al artículo 39 de la Carta de las Naciones Unidas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 analizamos atentamente las resoluciones que precedieron a la 808 (1993) y 827 (1993), observamos que en repetidas ocasiones el Consejo expresa su preocupación y condena los abusos contra la población civil y las violaciones generalizadas del Derecho Internacional Humanitario en la ex Yugoslavia. De igual manera, se afirmó expresamente que dicha situación en la ex Yugoslavia constituía una 'amenaza a la paz y la seguridad internacionales'. Por medio de la Resolución 808 (1992), en su parte dispositiva, el Consejo de Seguridad determina que la situación en la antigua Yugoslavia, donde manifiestamente se está violando el Derecho Internacional Humanitario, constituye una amenaza para la paz y la seguridad internacionales.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Si bien la cuestión del respeto del Derecho internacional Humanitario, es una materia que como tal no es objeto de protección en la Carta de las Naciones Unidas, el Consejo de Seguridad se había ocupado previamente de establecer de forma explícita una obligación en este sentido par los Estados a los que se dirigía, a saber, todos los Estados miembros o no miembros de las Naciones Unidas, con base en los ya citados artículos 25, 48, 2.5 y 2.6 de la Carta. Recordemos que el Consejo de Seguridad posee la competencia exclusiva en orden a la calificación el supuesto, facultad de calificación absolutamente discrecional e impregnada de consideraciones de tipo político y axiológico. Ahora bien, ello no nos exime de verificar si la determinación por el Consejo de que los crímenes masivos perpetrados en la antigua Yugoslavia constituyen una amenaza a la paz y la seguridad internacionales.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Según la posición mantenida por COHEN-JONATHAN, la introducción de la fórmula 'amenaza contra la paz' en el marco del artículo 39 de la Carta tenía como fin ampliar4 el campo de aplicación del Consejo de Seguridad. Se trataba, en efecto, de un término muy general donde podrían encajarse hipótesis bien diversas. Por tanto, sería sostenible una interpretación teleológica y progresista del artículo 339, que permitiera calificar como 'amenaza contra la paz' las masacres cometidas en el conflicto yugoslavo, ya que la exégesis de las disposiciones de la Carta ha de reconducirse, en última instancia, al respeto de la persona humana y de sus derechos y libertades fundamentales. Este habría de ser el criterio que orientase su interpretación y aplicación. Y si bien es cierto que las reiteradas violaciones del Derecho Internacional Humanitario pueden bastar para calificar la situación de amenaza para la paz y la seguridad internacionales, añadiría que lo que singulariza este conflicto frente a otros en los que la inactividad de Naciones Unidas ha sido flagrante, es que el carácter interétnico de las masacres y sus repercusiones en los países de la zona, constituyen un factor más de desestabilización que sumar a otras circunstancias que hacen de la situación en la antigua Yugoslavia un auténtico 'polvorín' en los Balcanes. Por otra parte, no sólo es que técnicamente haya sido correcta en este punto la actuación del Consejo de Seguridad, sino que abre un haz de posibilidades inédito hasta el presente siempre y cuando el Consejo manifieste la voluntad política necesaria para actuar en el sentido manifestado.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4.2) La medida adoptada conforme al artículo 41 de la Carta: la creación de un Tribunal Penal Internacional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Una vez determinada la existencia de una amenaza contra la paz y la seguridad internacionales, el Consejo puede decidir, conforme al artículo 41, 'qué medidas que no impliquen el uso de la fuerza armada han de emplearse para hacer efectivas sus decisiones, y podrá instar a los miembros de las Naciones Unidas a que apliquen dichas medidas, que podrán comprender la interrupción total o parcial de las relaciones económicas y de las comunicaciones ferroviarias, marítimas, aéreas, postales, telegráficas, radioeléctricas, y otros medios de comunicación, así como la ruptura de las relaciones diplomáticas'.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catálogo de medidas que figura en la redacción del artículo 41, según la generalidad de la doctrina, no tiene en absoluto carácter de 'numerus clausus', sino abierto y ejemplificativo, pudiendo el Consejo de Seguridad, adoptar, cuando lo estime necesario, otras medidas no citadas expresamente. Según dicho criterio, la creación de un Tribunal Penal Internacional podría considerarse como una de las medidas a adoptar por el Consejo de Seguridad para restablecer la paz y la seguridad internacionales. Como se dice en el proyecto francés, 'el criterio de una interpretación moderna del artículo 41 está constituido por el concepto de adecuación con respecto al fin perseguido. En esta perspectiva la creación de un Tribunal sería una medida apropiada si, dadas las circunstancias del momento, pareciera susceptible de lograr o de facilitar el logro del objetivo del restablecimiento de la paz y la seguridad internacionales'. Por otra parte, el Tribunal ha sido considerado como una obra de justicia y de paz en cuanto creado para poner fin a una situación de impunidad manifiesta e inadmisible. Y es quizá este extremo el que hace planear sombras sobre nuestra argumentación técnico-jurídica anterior. Hay que tener en cuenta que las acusaciones d lea opinión pública de pusilanimidad por parte de la comunidad internacional ante las masacres en la antigua Yugoslavia exigían la adopción inmediata de medidas. Ahora bien, ¿es realmente la creación de un Tribunal para juzgar a aquellos que violen las normas del Derecho Internacional Humanitario una medida adecuada para restablecer la paz y la seguridad internacionales?. Considero que, más bien, debiese ser considerada como una medida complementaria en el ámbito de una acción global para poner fina al conflicto en la ex Yugoslavia, pero desde una perspectiva rigurosamente técnica, las medidas para restablecer la paz y la seguridad que no impliquen el uso de la fuerza habrían de ser, en este caso, de otro cariz. El enjuiciamiento de una ser de, llamémosles así, 'criminales contra la humanidad', llevará tiempo, si es que algún día se logra someter a alguno a la Jurisdicción del Tribunal; criminales que, por otra parte, se encuentran en algunos casos sentados en las mesas de negociación que los representantes de la Unión Europea y la Organización de Naciones Unidas mantienen abiertas. Ante este horizonte, cuando en el mejor de los casos dentro de unos años se lograse condenar a algún oficial tan culpable de crímenes contra la humanidad como pedido en el escalafón, ¿podemos considerar que la creación el Tribunal supuso una medida que contribuyó al restablecimiento de la paz y la seguridad internacionales? Y qué será del Tribunal cuando se alcance la paz entre los contendientes? ¿Habrá de desaparecer ipso facto?.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Parece evidente que el nacimiento del Tribunal se ha visto condicionado por una convergencia de factores jurídicos, por una parte, y morales, ejemplificativos y de oportunidad, por otra, los cuales han restado rigor técnico-jurídico a su conformación. Del examen del procedimiento empleado para su creación se intuye que los miembros del Consejo, abrumados por las acusaciones de inactividad ante las atrocidades que se estaban cometiendo, estimaron que la adopción de tal medida, por su persecución ante la opinión pública, era prioritaria, siendo su fundamentación jurídica un problema a resolver a posteriori de la forma lo más aseada posible. Y es que, pienso, se ha forzado excesivamente el alcance del artículo 41 para asentar jurídicamente la creación de un Tribunal en cuya génesis ha primado, pese a la opinión en contrario de PELLET, consideraciones de oportunidad y de celeridad.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V - CONCLUSIÓN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Los sistemas de seguridad colectiva se enfrentan a su prueba más dura cuando se encuentran con actos de agresión que se cometan violando las normas de la comunidad internacional. La Liga de las Naciones, el primer intento por mantener la paz y la seguridad internacionales, resultó incapaz de enfrentarse a esa clase de desafío y la Organización de naciones Unidas, por su parte, no desarrolló prácticamente las virtualidad es del Capítulo VII de la Carta debido a la división ocurrida en el Consejo de Seguridad entre las grandes potencias durante la era bipolar o de 'guerra fría'. Como indica el Prof. SÁNCHEZ RODRÍGUEZ, en sede de la aplicación del Capítulo VII durante la Crisis del Golfo, 'al margen de los análisis y valoraciones de orden político..., nos hemos encontrado de bruces con problemas jurídicos inadvertidos o inexplorados, y con efectos potenciales insospechados... Hasta el presente era un lugar común la afirmación de que el ordenamiento internacional carecía de mecanismos para sancionar las conductas contrarias, que los delitos internacionales de especial gravedad y los crímenes internacionales quedaban sin castigo, que la debilidad del ordenamiento en este punto era patente. La actuación del Consejo de Seguridad durante la crisis estudiada sirve para demostrar que las anteriores afirmaciones no eran ciertas'. Sin embargo, a pesar del 'renacimiento' del Capítulo VII en estos últimos tiempos, creo que no es éste un cajón de sastre en el que todo cabe. Habrá que estar muy atentos a la actividad legislativa del Consejo para dilucidar si se ajusta al espíritu y las letras de las disposiciones de la Carta, lo que nos llevaría, en última instancia la espinosa cuestión del control de las acusaciones de dicho órgano (por no hablar de una eventual reforma de la Carta). Finalmente, considero que, pese a que laceración le Tribunal puede considerarse un paso adelante en el proceso de desarrollo del Derecho Internacional, en el fondo es prueba evidente de un fracaso del sistema de seguridad colectiva en un momento en que parecía renacer de sus cenizas. Fracaso porque no habría funcionado éste en su momento, mediante la adopción de las medidas necesarias para poner fina al terrible conflicto que sigue asolando, no lo olvidemos parte del territorio de Europa, la cuestión del anhelado Tribunal Penal Internacional podría haber tenido un nacimiento más acorde con la trascendencia de su futuro devenir.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5" w:name="15"/>
            <w:bookmarkEnd w:id="15"/>
            <w:r w:rsidRPr="00EB097F">
              <w:rPr>
                <w:rFonts w:ascii="Arial" w:eastAsia="Times New Roman" w:hAnsi="Arial" w:cs="Arial"/>
                <w:b/>
                <w:bCs/>
                <w:color w:val="009933"/>
                <w:sz w:val="20"/>
                <w:szCs w:val="20"/>
                <w:lang w:eastAsia="es-AR"/>
              </w:rPr>
              <w:t>"LA FORMACIÓN JURÍDICA EN HARVARD"</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Soledad Villagra de Biedermann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Sociología, Realidad Educacional y Universitaria</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40"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En este momento en que tantos cambios se están queriendo introducir en las facultades de derecho paraguayas, con nuevos planes de estudio y el intento de dar a los estudiantes una formación más orientada hacia la práctica, sería importante que busquemos ejemplos de cómo enriquecer nuestro sistema de enseñanza, sin tener que recortar las materias tradicionales. Con esta visión nos abocamos a describir cómo se enseña derecho en los Estados Unidos, particularmente en la Universidad de Harvard.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Fundada en 1817, Harvard es la Escuela1 de Derecho más antigua de los Estados Unidos, así como la Universidad como tal, que fue fundada en 1636.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Escuela de Derecho de Harvard, situada en Cambridge -ciudad vecina a Boston y separada de ésta por el río Charles- tiene su sede física en 17 edificios, y en 1993, contaba con 1.800 estudiantes y cerca de un centenar de profesores. Su presupuesto para el año 1989-1990 fue de 46 millones de dólares. Su biblioteca es considerada como la mayor del mundo de Derecho, conteniendo más de un millón y medio de volúmenes. El presupuesto anual para compras de libros sólo en el área de derecho internacional era de un millón de dólares en el año académico 1992-1993. Todo este presupuesto millonario es posible mediante una planificada campaña de captación de fondos y recursos llevada a cabo año a año, en la cual el decano juega un importante papel.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carrera de derecho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facultades de derecho en Estados Unidos tienen diferentes curricula y planes de estudio, pero en general todas siguen el mismo modelo que las facultades más conocidas. Se precisan tres años de estudio para completar la carrera, con lo que se obtiene el título de Juris Doctor (J.D.), equivalente al grado de abogacía en nuestro país. Sin embargo, para que un estudiante estadounidense pueda cursar la carrera debe haber completado una licenciatura universitaria, que son cuatro años, luego de la secundaria, por lo que la carrera de derecho viene a ser, de hecho, un posgrado.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Cada año de estudios de la carrera de derecho se divide en tres trimestres: setiembre-diciembre (fall), un 'trimestre' intensivo en enero (winter) y febrero-mayo (spring). El primer año los estudiantes tienen siete asignaturas, seis de las cuales son obligatorias. Se trata de proveer a los alumnos de las materias básicas para la formación jurídica: Derecho Procesal Civil (Civil procedure), Contratos (Contracts), Obligaciones extracontractuales (Torts), Derecho penal (Criminal Law), Derecho de la propiedad (Property) y Métodos Legales (Legal Methods) o Argumentación (Argument), esta última eminentemente práctica. Además, los estudiantes del primer año tienen que participar en la célebre Ames (Moot Court) Competition. La Ames Competition, iniciada en 1820, es un verdadero acontecimiento. Los estudiantes se dividen en grupos y a lo largo del curso preparan un caso que al final, defienden ante un tribunal compuesto por un profesor, un alumno del tercer año y un abogado. Esta competencia de tribunal 'hipotético' les ayuda a pensar, redactar y hablar como abogados y es importante para sus curricula, en los que pesarán no sólo las notas, sino el desempeño de actividades extra-curriculares.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Durante el segundo y tercer año los estudiantes deben completar un total de 52 créditos, con un mínimo de 24 y un máximo de 28 por año. Cada materia tiene de dos a cinco créditos.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Siguiendo la práctica establecida desde los años cincuenta, las asignaturas durante el segundo y tercer año son optativas, si bien los profesores recomiendan elegir Contabilidad, Derecho constitucional, Sociedades, y Derecho fiscal. La variedad de cursos ofrecidos al estudiante es impresionante, y permite su especialización por más extraña que sea su particular área de interés. Al margen de Derecho Internacional, Derecho Administrativo, Quiebras, Derecho Romano, Derecho laboral, Derechos Humanos, Derecho financiero y otras materias, tradicionalmente cubiertas en nuestros planes de estudio, existen otras como el Derecho de la competencia, Derecho ambiental, Derecho del asilo y el refugio, Violencia Política y Terrorismo, El abogado gubernamental, El escritor legal, Derecho de la Inmigración, Regulación bancaria, Asesoramiento a</w:t>
            </w:r>
            <w:r w:rsidRPr="00EB097F">
              <w:rPr>
                <w:rFonts w:ascii="Arial" w:eastAsia="Times New Roman" w:hAnsi="Arial" w:cs="Arial"/>
                <w:color w:val="003399"/>
                <w:sz w:val="17"/>
                <w:szCs w:val="17"/>
                <w:lang w:eastAsia="es-AR"/>
              </w:rPr>
              <w:br/>
              <w:t>empresas, La Iglesia y el Estado; numerosos cursos de derecho comparado, como ser: El pensamiento legal chino, Privatización en Europa Oriental, El sistema legal islámico, países recientemente industrializados, Métodos de solución de conflictos japoneses, Rusia: el emergente Derecho de Negocios; cursos de derecho y otras disciplinas, como: Medicina y Derecho, Derecho y Literatura: Higiene espiritual para abogados, Deporte y el derecho, Orientación sexual y el derecho, el Sida y el derecho, la política educacional y el derecho, y un larguísimo etcétera. Además de esta gran variedad de materias ofrecidas, están presentes durante los tres años de estudio los cursos de contenido eminentemente práctico, los clinical courses, que están directamente relacionados al desempeño de la profesión, y que han aumentado en los últimos años debido a la preocupación de los colegios de abogados por la disfunción entre lo que se enseña en la carrera y la realidad de la profesión. El componente clinical agrega varios créditos extra, por el tiempo que demanda el estar en la práctica.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Merece ser especialmente mencionado uno de los cursos estrella de la Escuela: Negociación (Negotiation Workshop), cuyo método se ha llevado a diferentes países y regiones aplicándose en conflictos nacionales e internacionales, contratados los profesores por los gobiernos (en Sudáfrica luego del fin del apartheid, en la ex Unión Soviética durante su disolución, en Alemania durante su unificación). En esta clase los estudiantes aprenden técnicas de negociación a través de la práctica,</w:t>
            </w:r>
            <w:r w:rsidRPr="00EB097F">
              <w:rPr>
                <w:rFonts w:ascii="Arial" w:eastAsia="Times New Roman" w:hAnsi="Arial" w:cs="Arial"/>
                <w:color w:val="003399"/>
                <w:sz w:val="17"/>
                <w:szCs w:val="17"/>
                <w:lang w:eastAsia="es-AR"/>
              </w:rPr>
              <w:br/>
              <w:t xml:space="preserve">negociando durante maratónicas sesiones, con filmación y psiquiatras asesores incluidos, que consumen días y fines de semana completos. El curso es interdisciplinario y se inscriben en él gran cantidad de profesionales que son estudiantes de post-grado de Harvard de otras carreras, con lo que gana en </w:t>
            </w:r>
            <w:r w:rsidRPr="00EB097F">
              <w:rPr>
                <w:rFonts w:ascii="Arial" w:eastAsia="Times New Roman" w:hAnsi="Arial" w:cs="Arial"/>
                <w:color w:val="003399"/>
                <w:sz w:val="17"/>
                <w:szCs w:val="17"/>
                <w:lang w:eastAsia="es-AR"/>
              </w:rPr>
              <w:lastRenderedPageBreak/>
              <w:t>riqueza el curso.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año académico 1993-1994 se ofrecían en Harvard más de 125 materias, y como si esto fuera poco, la posibilidad del registro cruzado (cross registration), lo que permitía a los estudiantes tomar cursos de otras carreras (Economía, Psicología, Administración de Empresas, etc.), siempre y cuando no se registraran en otra disciplina por más de cuatro créditos al año.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Algo importante que destacar es que los alumnos no siempre pueden matricularse en el curso que deseen, puesto que por el sistema de numerus clausus cada profesor determina el número de estudiantes que admitirá en sus cursos. Las materias obligatorias o las básicas pueden tener hasta cuatro cátedras con profesores diferentes a los cuales elegir. Algunos profesores admiten hasta 50 por clase y otros a todos los que deseen inscribirse. A pesar de que el promedio de alumnos por clase es mucho menor que en Paraguay (asistimos a una clase-seminario2 con sólo ocho alumnos), no es raro encontrar clases con 150 alumnos.</w:t>
            </w:r>
            <w:r w:rsidRPr="00EB097F">
              <w:rPr>
                <w:rFonts w:ascii="Arial" w:eastAsia="Times New Roman" w:hAnsi="Arial" w:cs="Arial"/>
                <w:color w:val="003399"/>
                <w:sz w:val="17"/>
                <w:szCs w:val="17"/>
                <w:lang w:eastAsia="es-AR"/>
              </w:rPr>
              <w:br/>
              <w:t>Para evitar que los alumnos se queden sin los cursos que más les interesan, un mes antes de matricularse deben llenar una lista por orden de preferencia de las asignaturas que piensan elegir. Si un estudiante quiere cursar Derecho Constitucional con el profesor Larry Tribe, por ejemplo, y se le asigna el número 1 de la lista, será admitido casi con toda seguridad. Si se le asigna el número 2 ó el 3, su admisión se hará según el número de estudiantes que soliciten el mismo curso. Para algunos cursos, como por ejemplo Negociación, hasta se precisa una carta-presentación con una fundamentación de porqué se quiere tomar el curso, como pre-requisito para la admisión. Una vez matriculados, los estudiantes gozan de un período de prueba de una semana (add and drop period), durante el cual, tras asistir a las primeras clases, podrán cambiar las asignaturas elegidas en función de la impresión que les hayan causado los profesores y la disponibilidad de espacios libres en otros cursos. Por lo general, el sistema da buenos resultados, y el estudiante se queda con lo elegido si lo ha previsto poniendo sus materias escogidas en los primeros lugares en su lista del mes anterior.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Estudios de posgrado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 Escuela de Derecho de Harvard también se ofrece la posibilidad de cursar estudios de posgrado, que pueden ser un Master en Derecho (Master in Law, más conocido como LL.M.) y un doctorado (Doctor on Juridical Science o S.J.D.).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LL.M. está abierto a estudiantes norteamericanos y extranjeros, aunque en la práctica, los últimos son mayoría. Se admiten por año normalmente a unos 120 abogados que representan a unos 55 países, seleccionándolos en virtud de sus calificaciones anteriores y sus propuestas-solicitudes para ingresar a la Escuela. El proceso de selección aparentemente complicado hace que se retiren 7000 solicitudes por año y se presenten finalmente unas 1500. En realidad lo que el estudiante del último año o abogado debe hacer es llenar los requisitos de la solicitud-folleto que imprime la escuela todos los años: rendir el TOEFL (examen de inglés como segunda lengua) y lograr un puntaje mayor de 570 -a menos que se tenga cursado un año de estudios a nivel universitario en lengua inglesa-, conseguir la recomendación por escrito de dos ex-profesores o empleadores, un puntaje que le asegure estar en el 10% de los mejores de su clase, y lo determinante para decidir el ingreso -según el comité de admisión-, una explicación personal (personal statement) del porqué desea estudiar en Harvard, donde lógicamente se espera que el solicitante extranjero se explaye en que revertirá los beneficios de su estudio en su país de origen. Ayuda además el hecho de haber desempeñado actividades extra-curriculares y asimismo tener experiencia como profesional, hecho que desde luego se exige a los candidatos estadounidenses al LLM.</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LL.M. requiere una residencia de un año académico y completar de 18 a 22 créditos. En los últimos años, la Escuela ha conseguido permisos para los abogados extranjeros que necesitan al menos 24 créditos cursados en Estados Unidos para rendir el codiciado examen Bar de Nueva York, lo que les abre al mercado laboral más importante, con sueldos de U$ 90.000 y más al año. Generalmente los estudiantes extranjeros que desean trabajar en Estados Unidos se quedan sólo un año más.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estudiantes del posgrado de Master no tienen un programa específico de estudios, sino que pueden elegir los mismos cursos de los J.D., con la exigencia para estudiantes extranjeros de inscribirse en al menos dos cursos de Derecho norteamericano. Se debe también escribir un trabajo de investigación-tesis (LL.M. paper) bajo la dirección de un profesor. Para obtener el título, es necesario aprobar todos los cursos (obtener como mínimo una C3 ) y conseguir un promedio final igual o superior a B-.</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El programa de doctorado (S.J.D.) es muy selectivo, sólo se admiten seis o siete estudiantes por año. Para presentarse a la candidatura, es necesario haber completado previamente el LL.M. en Harvard, con un promedio de notas de B+, haber escrito un trabajo de tesis de calidad y asegurarse el apoyo de profesores de prestigio. LL.Ms de otras universidades son admitidos sólo en circunstancias excepcionales.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El S.J.D. requiere como mínimo un año de residencia, lo que en la práctica puede ir a siete años o más, dependiendo del tema de trabajo escogido. Se debe completar un plan de estudios de acuerdo al director del doctorado, que es el que guiará al estudiante. Finalizado el primer o segundo año de residencia (el tiempo más común) el candidato deberá realizar un examen oral ante un tribunal compuesto por su director y uno o dos profesores más, que pueden ser de Harvard o procedentes de otras escuelas. Una vez aprobado este examen, el estudiante podrá empezar a trabajar en su tesis doctoral.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método de estudio de casos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Una de las características más importantes de la enseñanza de derecho en Estados Unidos es la del método del estudio de casos, conocido también como método socrático. Fue introducido en Harvard por Christopher Columbus Langdell, considerado el padre de la educación jurídica moderna en los Estados Unidos, y se extendió rápidamente a las demás Escuelas del país. No solamente en las Escuelas de Derecho, sino incluso en las de Negocios, que adaptaron a esta disciplina los estudios de casos prácticos, introduciéndola por primera vez la Harvard Business School en este siglo.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método del caso se basa en la participación activa y constante de los estudiantes en clase, que previamente habrán leído y analizado el caso a tratarse ese día. Al principio del año, el profesor distribuye el llamado syllabus, que no es otra cosa que el programa de estudios del año, donde constan los casos y el día en que van a tratarse. Los casos están contenidos en los libros de texto -casebooks- , de los que cada año sale una nueva edición. La clave del éxito de esta técnica es la preparación a fondo del tema por parte de los alumnos y el profesor. No se concibe la clase sin la preparación anterior del estudiante, quien ya tiene una opinión propia sobre el caso antes de llegar a la clase, y por tanto se prepara a compartirla. El profesor invita a un estudiante cualquiera a abrir la clase exponiendo el caso, y a partir de entonces se genera una discusión en la cual el primero sólo intervendrá ocasionalmente. Aunque indudablemente más divertida que la clase magistral, requiere mucho mayor preparación por parte del profesor, y habilidad para dirigir y dramatizar. Los estudiantes se benefician en cuanto al conocimiento de casos, por el sistema de jurisprudencia usado en Estados Unidos, y ensayan su oratoria y su capacidad de discutir un caso en público. Los</w:t>
            </w:r>
            <w:r w:rsidRPr="00EB097F">
              <w:rPr>
                <w:rFonts w:ascii="Arial" w:eastAsia="Times New Roman" w:hAnsi="Arial" w:cs="Arial"/>
                <w:color w:val="003399"/>
                <w:sz w:val="17"/>
                <w:szCs w:val="17"/>
                <w:lang w:eastAsia="es-AR"/>
              </w:rPr>
              <w:br/>
              <w:t>detractores del método -por usarse un interrogatorio casi compulsivo en el que los estudiantes no pueden negarse a contestar- se inclinan por otra técnica participativa, la de los paneles, en la cual un grupo de cuatro o cinco estudiantes actúan en un panel frente a la clase. El profesor guía la clase, pero los miembros del panel lo interrumpen para discutir aspectos de su exposición, y los demás estudiantes participan si lo desean. Otra técnica utilizada es la de juicios simulados, o conferencias internacionales simuladas, banderas y votación de los diferentes países incluidas, donde se utiliza la negociación entre los participantes, y donde para hacerlas más realistas, los países poderosos tienen más puntos que los pequeños. La enseñanza a través de la informática también está presente, mediante la utilización de los programas Lexis u otros, que son usados en forma gratuita por los estudiantes, mientras que los estudios jurídicos -o sus clientes- deben pagar su uso por hora. Mediante estos sistemas, se puede tener en la computadora una sentencia de la Corte Suprema de Justicia una hora después de dictada.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profesores y los estudiantes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fundamental para el éxito de la Escuela la contratación de profesores de calidad. La capacidad para la enseñanza y para la investigación, que está determinada por la calidad de las publicaciones, es lo que decide su inclusión en la Faculty. Para ser profesor titular, que es una plaza para toda la vida (Tenure) se requiere haberse desempeñado brillantemente como profesor asistente durante seis o siete años. En la evaluación de la capacidad de la enseñanza y su éxito como docente, cumplen un rol muy importante las encuestas realizadas cada año por los estudiantes4. En cuanto a las publicaciones, su calidad depende no sólo del contenido, sino de que se hayan publicado en las revistas jurídicas más prestigiosas editadas por los estudiantes. El Yale Law Journal, el Columbia Law Review y el Harvard Law Review están entre las más conocidas.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profesores, a tiempo completo y bien remunerados, a diferencia de nuestras universidades, cuentan con oficinas equipadas y con equipos de auxiliares, pudiendo contratar alumnos para llevar a cabo investigaciones determinadas. Se fomenta además el relacionamiento profesor-estudiante proveyendo de un fondo al docente para invitar a sus alumnos a actividades extra-curriculares, en actividades sociales y académicas.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general, los profesores más prestigiosos son conocidos tanto por su excelencia docente como por sus éxitos en los tribunales. Tales son por ejemplo Alan Dershowitz, criminalista, que defendió en un caso famoso a Claus von Bulow, acusado de estar implicado del homicidio de su mujer, caso que fue llevado incluso al cine, o Lawrence Tribe, constitucionalista de orientación liberal, célebre por los casos que defendió ante el Tribunal Supremo. En las clases de éste último siempre había dos filas de oyentes que venían a escucharlo especialmente en su visita a Harvard.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En los últimos años, hubo una revolución en el seno de la Faculty, debida principalmente a un enfrentamiento entre los conservadores y los liberales, entre los que se encuentran representadas las minorías. Esta rápidamente se extendió al alumnado, de mucha diversidad en su composición, por ser Harvard una de las Escuelas en donde se aplica con mayor éxito la política de no discriminación en la selección de estudiantes. Justamente la razón del enfrentamiento5 fue la no inclusión en la faculty de más profesores provenientes de las minorías, como mujeres de color o hispanos, habiéndose presentado personas con méritos suficientes para ello. Los alumnos pedían extender la diversidad de la selección de alumnos a la de los profesores, decidida por un comité de admisión de profesores que en su mayoría respondían al grupo conservador. Esta presión ha llevado a la Escuela a dar un cambio positivo en sus políticas de contratación.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cuanto a los estudiantes, aparte de la propiedad enriquecedora que supone su diversidad, constituyen un grupo con edad media superior a los estudiantes paraguayos, en parte por los años de estudio previos que requiere la licenciatura universitaria, y en parte porque muchos trabajan antes de entrar a la Escuela de Derecho, en previsión del alto costo que ésta significa. A pesar de que el porcentaje de becarios y alumnos ayudados por algún estipendio o préstamos a largo plazo es de aproximadamente un 90%, Harvard y otras Escuelas de Derecho similares suponen un costo elevado. La matrícula de este año orilla los U$ 17.000, a los que hay que agregarles el costo de vivienda y manutención anual, unos U$ 14.000, dependiendo de donde se viva, siendo los dormitorios de la Universidad la mejor opción.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Aun en caso en que se tengan los recursos, el ingreso a Harvard es muy difícil, debido al escaso número de plazas disponibles y la gran competencia entre estudiantes. La selección se realiza teniendo en cuenta las calificaciones anteriores del estudiante, la nota obtenida en la prueba de acceso a las Escuelas de Derecho (L.S.A.T. por sus siglas en inglés), cartas de recomendación de profesores anteriores y las actividades extra-curriculares desarrolladas por el estudiante, que juegan un papel bastante importante. En la práctica, sólo el 7% de los estudiantes que solicitan su admisión consiguen hacerlo6 .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 maratón personal y económica determina a los estudiantes a tomarse el estudio de Derecho muy en serio, y que sean exigentes no sólo con ellos mismos, sino con la formación que se les ofrece. Desde el primer año se concentran en ese esfuerzo porque de su buen desempeño dependen</w:t>
            </w:r>
            <w:r w:rsidRPr="00EB097F">
              <w:rPr>
                <w:rFonts w:ascii="Arial" w:eastAsia="Times New Roman" w:hAnsi="Arial" w:cs="Arial"/>
                <w:color w:val="003399"/>
                <w:sz w:val="17"/>
                <w:szCs w:val="17"/>
                <w:lang w:eastAsia="es-AR"/>
              </w:rPr>
              <w:br/>
              <w:t>cuestiones fundamentales como el poder ser editores de la Law Review (Revista jurídica editada por los estudiantes y cuya admisión en el staff editor es un honor reservado a los estudiantes más brillantes), y la posibilidad de ser contratados el verano siguiente en los Estudios Jurídicos más importantes del país o como secretarios de jueces (puestos de gran prestigio).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Los estudiantes constituyen, de esta manera, un grupo de personas maduras, serias, esforzadas en su formación, cuya preocupación principal no es aprobar, ya que esto se da por descontado, sino el poder obtener una sólida formación que les capacite debidamente para la práctica posterior del derecho. Esta actitud se nota de manera muy particular en los exámenes, cuando se entregan los tests a terminar en la casa por ocho horas o hasta quince días y ninguno de los estudiantes desea o intenta compartir esta responsabilidad con otros, por considerar que su trabajo siempre será el mejor. El lado negativo del individualismo y la competitividad hace que las relaciones entre estudiantes no sean tan cordiales como debieran en algunos casos.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Actividades extra-curriculares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gran distintivo de las universidades norteamericanas es la importancia que conceden a las actividades extra-académicas. Contribuye a esto el que los estudiantes vivan en el campus, los grandes recursos económicos con que cuentan estas universidades y la preocupación de las mismas en que los diversos grupos de estudiantes puedan potenciar y dar cauce a sus inquietudes extra-académicas.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el curso del año 1992-1993, existieron nada menos que 114 asociaciones distintas. Cada una de ellas representa diferentes intereses a los que responde un grupo de estudiantes y se manejan con bastante autonomía, mucho más parecidas en su funcionamiento a una ONG que a un Centro de Estudiantes local. Se nuclean por diferentes objetivos: las que fomentan las relaciones basadas en la raza y el origen: Black Law Students Association (Asociación de estudiantes de color), Alianza (Asociación de estudiantes latinos), Middle Eastern Students Association (Asociación de estudiantes del Oriente Medio); las que tienen como objetivos fomentar una disciplina jurídica: International Law Association, Environmental Law Association; las que agrupan a estudiantes de una misma religión: Catholic Law Students Association, Jewish Law Students Association; las dedicadas a asistir a grupos marginales de la sociedad: Proyecto de asistencia legal a las prisiones, Asociación de ayuda a los indigentes, Proyecto de ayuda a mujeres golpeadas; las que nuclean a estudiantes con una actividad común: teatro (Drama Society), Club de remo, de fútbol; las que se dedican a promover la integración social y el reconocimiento de derechos civiles de personas marginadas, como el Committee on Gay, Bisexual and Lesbian Legal Issues (Comité sobre asuntos jurídicos sobre gays, bisexuales y lesbianas), etc. El gran número de coloquios, seminarios y conferencias organizadas por estas asociaciones contribuyen a dar una formación integral al estudiante </w:t>
            </w:r>
            <w:r w:rsidRPr="00EB097F">
              <w:rPr>
                <w:rFonts w:ascii="Arial" w:eastAsia="Times New Roman" w:hAnsi="Arial" w:cs="Arial"/>
                <w:color w:val="003399"/>
                <w:sz w:val="17"/>
                <w:szCs w:val="17"/>
                <w:lang w:eastAsia="es-AR"/>
              </w:rPr>
              <w:lastRenderedPageBreak/>
              <w:t>fuera de las aulas y a dar vida a la Universidad.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Además están las once revistas a las que los estudiantes dedican gran parte de su tiempo libre, desde la mítica Harvard Law Review, fundada en 1887, hasta otras más recientes y de temas diversos, como la de Derechos Humanos, Derecho Internacional, Derecho Ambiental, La Mujer y el derecho, etc.</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Estas asociaciones y su actividad contribuyen a completar la educación del abogado y como están bien organizadas, a darle el sello de excelencia que hace que la universidad no sea sólo el aula, sino más bien, el escenario de discusiones, proyectos comunes, ilusiones y frustraciones compartidas que hacen a una persona insertarse más activamente en su sociedad y servirle con su formación.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1 Es preferible utilizar este término antes que el de facultad, puesto que es el que traduce la palabra inglesa school, que denomina a todo nivel de enseñanza; faculty significa cuerpo de profesores. En realidad son verdaderas escuelas de profesionales, destinadas a la formación práctica de futuros juristas.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Se denomina clase-seminario (seminar) a clases donde se beneficia la investigación antes que cualquier otro método de estudio, donde el profesor guía a los alumnos, proporciona abundante material de estudio sobre la materia y les da pautas sobre cómo encarar el trabajo que se presentará al final del seminario, en el que colaboran con sugerencias los demás participantes. La investigación, en este caso de un curso de Protección Internacional de Derechos Humanos, incluía la visita de los estudiantes al país investigado, financiado por el programa del mismo seminario (Un estudio sobre el cumplimiento de las Convenciones de Ginebra en la guerra del Golfo se hizo en base a una misión especial interdisciplinaria de estudiantes y profesionales de Harvard a Irak finalizada la guerra, una investigación sobre el derecho al desarrollo en Filipinas se hizo en base a una visita del alumno a villas marginales de Manila y otros centros urbanos).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3 La gradación en Estados Unidos va desde A: excelente hasta F: aplazado, pudiendo ser A+,A o A-, B+,B o B- ,y así sucesivamente.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En la Escuela de Derecho de Harvard, así como en otras, el Board de Students Advisors de la Escuela (Directiva de Estudiantes Asesores), edita cada año los resultados de una encuesta realizada el último día de clases de todas las materias sobre la calidad de los cursos dados. En una escala del 1 al 5 los estudiantes deben evaluar diversos aspectos de la enseñanza; sobre el profesor: la sensibilidad a los intereses del estudiante, la accesibilidad fuera de la clase, el dominio de la materia, la claridad de las exposiciones, la organización de éstas, la disponibilidad para responder preguntas de los estudiantes, la presentación/aceptación de puntos de vista alternativos y la efectividad del profesor en general; sobre el contenido del curso: el interés de la materia, la dificultad, la relevancia/importancia y la efectividad del curso en general; sobre el trabajo y los materiales asignados: la organización de los materiales, el interés, la calidad, la relevancia de los materiales para el curso, la cantidad de trabajo asignado y el ritmo del curso. Se pregunta además por el sistema utilizado: si es socrático, sin posibilidad de evitar participación, socrático con posibilidad de evitar participación, socrático de participación sólo voluntaria, grupos/paneles a preparar o clases magistrales (lecture). Por último los estudiantes dan su opinión personal sobre la clase en general, o bien una emocionada arenga para que otros estudiantes se inscriban en la clase 'que cambió su vida' o al revés, una advertencia de que será tremendamente aburrida, frases de las que sólo se seleccionarán las más representativas en la publicación.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5 Este conflicto llegó a los diarios y revistas más importantes del país; el semanario CQ se refirió a éste como Beirut on the Charles, haciendo referencia a una 'guerra civil' que se estaría llevando a cabo en la Escuela de Derecho de Harvard, en Cambridge, a la vera del río Charles. En el año 1991-1992 se sucedieron una serie de manifestaciones en la Escuela: una huelga, una sentata por 24 horas de estudiantes con máscaras de la foto del decano en su oficina e incluso un juicio interpuesto por discriminación contra la Escuela de Derecho de Harvard ante los tribunales.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6 En 1991, por ejemplo fueron admitidos 540 de 75.000 solicitantes. Harvard Law School: Application 1992 , p.9.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rHeight w:val="900"/>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6" w:name="16"/>
            <w:bookmarkEnd w:id="16"/>
            <w:r w:rsidRPr="00EB097F">
              <w:rPr>
                <w:rFonts w:ascii="Arial" w:eastAsia="Times New Roman" w:hAnsi="Arial" w:cs="Arial"/>
                <w:b/>
                <w:bCs/>
                <w:color w:val="009933"/>
                <w:sz w:val="20"/>
                <w:szCs w:val="20"/>
                <w:lang w:eastAsia="es-AR"/>
              </w:rPr>
              <w:t>"LA IDENTIDAD DE LA JUSTICIA CRIMINAL: ENTRE LA MODERNIZACION Y LOS DERECHOS HUMANOS"</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Alberto M. Binder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 procesal penal</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41"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I. Introducción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relaciones entre la administración de justicia y los derechos humanos todavía solemos explicarlas en términos sencillos y políticamente superficiales. Esta visión simple tiene causas muy profundas, que hunden sus raíces en los viejos ideales de la cultura greco-romana, asumidos por la tradición judeo-cristiana sobre la cual se funda Occidente. La fuerza moral del juez y del legislador -actividades que históricamente se confunden en una sola- se personifica en arquetipos muy fuertes, tales como Moisés o Solón.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Austeridad, imperturbabilidad, sabiduría, paciencia, misericordia, responsabilidad son cualidades que mágicamente nuestra civilización atribuye a sus jueces, con una fuerza tal que siempre deja subsistente alguna imagen de esa naturaleza aun cuando sólo exista en la realidad usilanimidad o simple mediocridad. Y ello es un fenómeno recurrente. No se trata sólo de Solón sino también de Magnaud. Siempre aparecerá en</w:t>
            </w:r>
            <w:r w:rsidRPr="00EB097F">
              <w:rPr>
                <w:rFonts w:ascii="Arial" w:eastAsia="Times New Roman" w:hAnsi="Arial" w:cs="Arial"/>
                <w:color w:val="003399"/>
                <w:sz w:val="17"/>
                <w:szCs w:val="17"/>
                <w:lang w:eastAsia="es-AR"/>
              </w:rPr>
              <w:br/>
              <w:t>alguna película cinematográfica algún juez de esas características y el mito seguirá vivo. En última instancia, sobre estos arquetipos</w:t>
            </w:r>
            <w:r w:rsidRPr="00EB097F">
              <w:rPr>
                <w:rFonts w:ascii="Arial" w:eastAsia="Times New Roman" w:hAnsi="Arial" w:cs="Arial"/>
                <w:color w:val="003399"/>
                <w:sz w:val="17"/>
                <w:szCs w:val="17"/>
                <w:lang w:eastAsia="es-AR"/>
              </w:rPr>
              <w:br/>
              <w:t>elaboramos nuestra crítica al juez moderno.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Creo, pues, que muchas de las críticas globales a la administración de justicia se proyectan sobre esta imagen y esos arquetipos o, si se quiere, el mito del juez constituye el fondo común de todas nuestras percepciones sobre lo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Pero, por otra parte, hasta una suave mirada sobre nuestro pasado reciente nos muestra una situación aterradora que no se asemeja en nada</w:t>
            </w:r>
            <w:r w:rsidRPr="00EB097F">
              <w:rPr>
                <w:rFonts w:ascii="Arial" w:eastAsia="Times New Roman" w:hAnsi="Arial" w:cs="Arial"/>
                <w:color w:val="003399"/>
                <w:sz w:val="17"/>
                <w:szCs w:val="17"/>
                <w:lang w:eastAsia="es-AR"/>
              </w:rPr>
              <w:br/>
              <w:t>al arquetipo mítico del juez. La experiencia latinoamericana nos ha acostumbrado a contrastes fuertes. Por ejemplo, el hecho de que miles de</w:t>
            </w:r>
            <w:r w:rsidRPr="00EB097F">
              <w:rPr>
                <w:rFonts w:ascii="Arial" w:eastAsia="Times New Roman" w:hAnsi="Arial" w:cs="Arial"/>
                <w:color w:val="003399"/>
                <w:sz w:val="17"/>
                <w:szCs w:val="17"/>
                <w:lang w:eastAsia="es-AR"/>
              </w:rPr>
              <w:br/>
              <w:t>personas presentaron habeas corpus -la más dramática interpelación al juez que hemos inventado- y nuestros jueces lo tramitaban rutinariamente, pidiendo informes a los torturadores mientras las víctimas eran asesinadas lentamente -por lo menos así fue en mi país- en</w:t>
            </w:r>
            <w:r w:rsidRPr="00EB097F">
              <w:rPr>
                <w:rFonts w:ascii="Arial" w:eastAsia="Times New Roman" w:hAnsi="Arial" w:cs="Arial"/>
                <w:color w:val="003399"/>
                <w:sz w:val="17"/>
                <w:szCs w:val="17"/>
                <w:lang w:eastAsia="es-AR"/>
              </w:rPr>
              <w:br/>
              <w:t>cárceles que quedaban a unas pocas cuadras de los tribunales; o cuando se presentaban habeas corpus y los jueces -muchas veces la misma Corte Suprema- delegaba su ejecución en débiles estudiantes o funcionarios inferiores que debían ir a los cuarteles a verificar una detención</w:t>
            </w:r>
            <w:r w:rsidRPr="00EB097F">
              <w:rPr>
                <w:rFonts w:ascii="Arial" w:eastAsia="Times New Roman" w:hAnsi="Arial" w:cs="Arial"/>
                <w:color w:val="003399"/>
                <w:sz w:val="17"/>
                <w:szCs w:val="17"/>
                <w:lang w:eastAsia="es-AR"/>
              </w:rPr>
              <w:br/>
              <w:t>ilegal. Esto todavía sucede en muchos países de Latinoamérica. El habeas corpus, el amparo, las diversas formas de inconstitucionalidad, todos recursos extremos que deberían servir a las necesidades de millones de personas que viven en un estado de inconstitucionalidad permanente</w:t>
            </w:r>
            <w:r w:rsidRPr="00EB097F">
              <w:rPr>
                <w:rFonts w:ascii="Arial" w:eastAsia="Times New Roman" w:hAnsi="Arial" w:cs="Arial"/>
                <w:color w:val="003399"/>
                <w:sz w:val="17"/>
                <w:szCs w:val="17"/>
                <w:lang w:eastAsia="es-AR"/>
              </w:rPr>
              <w:br/>
              <w:t>-aunque ese calificativo parezca algo ridículo- ya que todas nuestras Constituciones proclaman la igualdad de derechos que constituyen una</w:t>
            </w:r>
            <w:r w:rsidRPr="00EB097F">
              <w:rPr>
                <w:rFonts w:ascii="Arial" w:eastAsia="Times New Roman" w:hAnsi="Arial" w:cs="Arial"/>
                <w:color w:val="003399"/>
                <w:sz w:val="17"/>
                <w:szCs w:val="17"/>
                <w:lang w:eastAsia="es-AR"/>
              </w:rPr>
              <w:br/>
              <w:t>vida digna como la base de la vida social. ¿Pero cuántos campesinos han podido recurrir a la administración de justicia para remediar un</w:t>
            </w:r>
            <w:r w:rsidRPr="00EB097F">
              <w:rPr>
                <w:rFonts w:ascii="Arial" w:eastAsia="Times New Roman" w:hAnsi="Arial" w:cs="Arial"/>
                <w:color w:val="003399"/>
                <w:sz w:val="17"/>
                <w:szCs w:val="17"/>
                <w:lang w:eastAsia="es-AR"/>
              </w:rPr>
              <w:br/>
              <w:t>angustioso pedido de tierra? ¿O cuántos trabajadores han obtenido protección frente a situaciones casi similares a la esclavitud? Nuestro</w:t>
            </w:r>
            <w:r w:rsidRPr="00EB097F">
              <w:rPr>
                <w:rFonts w:ascii="Arial" w:eastAsia="Times New Roman" w:hAnsi="Arial" w:cs="Arial"/>
                <w:color w:val="003399"/>
                <w:sz w:val="17"/>
                <w:szCs w:val="17"/>
                <w:lang w:eastAsia="es-AR"/>
              </w:rPr>
              <w:br/>
              <w:t>continente ha vivido sacudido por convulsiones de justicia y nuestros jueces se han entretenido firmando el trámite ridículo de los expedientes, haciendo una farsa de juicio -siempre con un pobre como acusado- contentándose con sacar una sentencia que, cada tanto, reconocía tímidamente alguna libertad pública, o discutiendo sutilezas interpretativas, sin mayor efecto sobre la sociedad y, en todos los casos, manteniendo las formas de una justicia tan pulcra como hipócrita.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Alguno señalará que han existido excepciones. Seguramente, pero las excepciones son sólo eso: excepciones, a veces heroicas, a veces</w:t>
            </w:r>
            <w:r w:rsidRPr="00EB097F">
              <w:rPr>
                <w:rFonts w:ascii="Arial" w:eastAsia="Times New Roman" w:hAnsi="Arial" w:cs="Arial"/>
                <w:color w:val="003399"/>
                <w:sz w:val="17"/>
                <w:szCs w:val="17"/>
                <w:lang w:eastAsia="es-AR"/>
              </w:rPr>
              <w:br/>
              <w:t>producidas por la presión social o el oportunismo. Pero siempre excepciones.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aquella imagen mítica se ha resquebrajado. En parte por las denuncias de la Criminología crítica, en parte por el movimiento de</w:t>
            </w:r>
            <w:r w:rsidRPr="00EB097F">
              <w:rPr>
                <w:rFonts w:ascii="Arial" w:eastAsia="Times New Roman" w:hAnsi="Arial" w:cs="Arial"/>
                <w:color w:val="003399"/>
                <w:sz w:val="17"/>
                <w:szCs w:val="17"/>
                <w:lang w:eastAsia="es-AR"/>
              </w:rPr>
              <w:br/>
              <w:t>reforma de la justicia penal y, en gran medida por la tremenda toma de conciencia que se produjo en los últimos años, estimulada por informes</w:t>
            </w:r>
            <w:r w:rsidRPr="00EB097F">
              <w:rPr>
                <w:rFonts w:ascii="Arial" w:eastAsia="Times New Roman" w:hAnsi="Arial" w:cs="Arial"/>
                <w:color w:val="003399"/>
                <w:sz w:val="17"/>
                <w:szCs w:val="17"/>
                <w:lang w:eastAsia="es-AR"/>
              </w:rPr>
              <w:br/>
              <w:t xml:space="preserve">como el 'Nunca más', 'el informe Rettig' o 'De la locura a la esperanza' de la Comisión de la Verdad, </w:t>
            </w:r>
            <w:r w:rsidRPr="00EB097F">
              <w:rPr>
                <w:rFonts w:ascii="Arial" w:eastAsia="Times New Roman" w:hAnsi="Arial" w:cs="Arial"/>
                <w:color w:val="003399"/>
                <w:sz w:val="17"/>
                <w:szCs w:val="17"/>
                <w:lang w:eastAsia="es-AR"/>
              </w:rPr>
              <w:lastRenderedPageBreak/>
              <w:t>aunque sus efectos concretos rápidamente se hayan diluido.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Hoy la justicia penal en Latinoamérica está en crisis; ello es un hecho indudable que se manifiesta en los programas de reforma que se llevan</w:t>
            </w:r>
            <w:r w:rsidRPr="00EB097F">
              <w:rPr>
                <w:rFonts w:ascii="Arial" w:eastAsia="Times New Roman" w:hAnsi="Arial" w:cs="Arial"/>
                <w:color w:val="003399"/>
                <w:sz w:val="17"/>
                <w:szCs w:val="17"/>
                <w:lang w:eastAsia="es-AR"/>
              </w:rPr>
              <w:br/>
              <w:t>adelante en la casi totalidad de los países, con mayor o menor profundidad. Sin embargo, no debemos confiarnos de esa crisis. Ni de su alcance, ni de su profundidad. ¿Es ella una crisis provocada por una mayor sensibilidad por los derechos humanos? En parte, sí. ¿Es una crisis provocada por las necesidades internas del poder judicial de 'lavar su cara' frente a la sociedad? También. ¿Es una crisis provocada</w:t>
            </w:r>
            <w:r w:rsidRPr="00EB097F">
              <w:rPr>
                <w:rFonts w:ascii="Arial" w:eastAsia="Times New Roman" w:hAnsi="Arial" w:cs="Arial"/>
                <w:color w:val="003399"/>
                <w:sz w:val="17"/>
                <w:szCs w:val="17"/>
                <w:lang w:eastAsia="es-AR"/>
              </w:rPr>
              <w:br/>
              <w:t>por las necesidades de modernización? Quizás. ¿Es una crisis profunda? A veces, ¿Es una crisis de legitimización democrática? Sin duda.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instalación social de esta crisis -que se manifiesta de muchos modos, según los países- también nos ha sorprendido y creo que todavía no hemos aprendido a operar sobre ella. En cada país se conjuga, con fórmulas distintas, la necesidad de dar respuestas inmediatas, con la oportunidad histórica de atacar problemas estructurales. Entre estas dos oportunidades se han establecido proporciones difíciles y cambiantes.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Creo, en definitiva, que uno de los mayores desafíos de este tiempo es transformar esta situación de crisis temporal en una situación permanente de crisis. Ello se vincula con un problema de sensibilidad. Nuestras administraciones de justicia penal y la gran mayoría de los</w:t>
            </w:r>
            <w:r w:rsidRPr="00EB097F">
              <w:rPr>
                <w:rFonts w:ascii="Arial" w:eastAsia="Times New Roman" w:hAnsi="Arial" w:cs="Arial"/>
                <w:color w:val="003399"/>
                <w:sz w:val="17"/>
                <w:szCs w:val="17"/>
                <w:lang w:eastAsia="es-AR"/>
              </w:rPr>
              <w:br/>
              <w:t>abogados de nuestros países son insensibles a las violaciones a los derechos humanos que producen nuestros aparatos judiciales.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ello, estimo necesario, como primer paso, recuperar una dimensión crítica a la justicia penal que ya no se vincule a las grandes afectaciones a los derechos humanos (torturas, desapariciones, ejecuciones extrajudiciales, etc.) -no porque nos olvidemos de ellas o les restemos importancia, o porque haya que dejar de denunciarlas con fuerza- sino una dimensión crítica que enfoque el problema en la vida cotidiana de los tribunales. Esta rutina diaria es el humus que enriquece las raíces del Estado policial, que todavía nos amenaza con fuerza, aunque se disfrace con ropajes democráticos.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II. La rutina de los tribunales y las 'pequeñas' violaciones a los derechos humanos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 mañana leyéramos en el diario que en un país de otro continente, Africa por ejemplo, sus jueces violan directamente los derechos humanos, sentiríamos alarma, pena, desasosiego, una sensación de que la vida en este país debe valer poco, que sus habitantes corren peligro continuo y otros sentimientos similares. Sin embargo, nos cuesta creer que en cada uno de nuestros países los jueces violan los derechos humanos</w:t>
            </w:r>
            <w:r w:rsidRPr="00EB097F">
              <w:rPr>
                <w:rFonts w:ascii="Arial" w:eastAsia="Times New Roman" w:hAnsi="Arial" w:cs="Arial"/>
                <w:color w:val="003399"/>
                <w:sz w:val="17"/>
                <w:szCs w:val="17"/>
                <w:lang w:eastAsia="es-AR"/>
              </w:rPr>
              <w:br/>
              <w:t>diariamente. Así expresada esta última afirmación suena algo exagerada, un exceso verbal propio de un Congreso de Derechos Humanos. Pero veamos que no es así.</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Existe en todos nuestros sistemas constitucionales una oposición básica, que es el resultado de una tensión de fuerzas esenciales en la relación de los derechos humanos con la administración de justicia. Reconocemos la existencia del poder penal, no sólo como un hecho de poder, una</w:t>
            </w:r>
            <w:r w:rsidRPr="00EB097F">
              <w:rPr>
                <w:rFonts w:ascii="Arial" w:eastAsia="Times New Roman" w:hAnsi="Arial" w:cs="Arial"/>
                <w:color w:val="003399"/>
                <w:sz w:val="17"/>
                <w:szCs w:val="17"/>
                <w:lang w:eastAsia="es-AR"/>
              </w:rPr>
              <w:br/>
              <w:t>realidad puramente fáctica, sino también como una realidad jurídica, incluso como un mandato a los poderes constituidos. El poder penal, cuya</w:t>
            </w:r>
            <w:r w:rsidRPr="00EB097F">
              <w:rPr>
                <w:rFonts w:ascii="Arial" w:eastAsia="Times New Roman" w:hAnsi="Arial" w:cs="Arial"/>
                <w:color w:val="003399"/>
                <w:sz w:val="17"/>
                <w:szCs w:val="17"/>
                <w:lang w:eastAsia="es-AR"/>
              </w:rPr>
              <w:br/>
              <w:t>fenomenología debe ser estudiada permanentemente, se presenta siempre como el poder de mayor intensidad, aquél que encarcela, priva de</w:t>
            </w:r>
            <w:r w:rsidRPr="00EB097F">
              <w:rPr>
                <w:rFonts w:ascii="Arial" w:eastAsia="Times New Roman" w:hAnsi="Arial" w:cs="Arial"/>
                <w:color w:val="003399"/>
                <w:sz w:val="17"/>
                <w:szCs w:val="17"/>
                <w:lang w:eastAsia="es-AR"/>
              </w:rPr>
              <w:br/>
              <w:t>derechos básicos, causa dolor, en fin, la mayor atribución de poder que se reconoce en una sociedad política.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Nuestra civilización, que lleva la crueldad como uno de sus atributos más constantes, acrecentada, aunque suene paradójico, con la consolidación del paradigma de la razón instrumental, también tiene memoria de sus sufrimientos, de las innumerables víctimas que esa</w:t>
            </w:r>
            <w:r w:rsidRPr="00EB097F">
              <w:rPr>
                <w:rFonts w:ascii="Arial" w:eastAsia="Times New Roman" w:hAnsi="Arial" w:cs="Arial"/>
                <w:color w:val="003399"/>
                <w:sz w:val="17"/>
                <w:szCs w:val="17"/>
                <w:lang w:eastAsia="es-AR"/>
              </w:rPr>
              <w:br/>
              <w:t>crueldad ha producido. Crueldad y memoria, otra de las oposiciones básicas que subyacen en este tema.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poder penal a lo largo de la historia ha producido innumerables arbitrariedades. Por un defecto de nuestra historiografía estudiamos más las luchas de ideas o de escuelas que la historia concreta del ejercicio del poder penal. Vigilar y castigar, de Foucault, en este sentido, ha</w:t>
            </w:r>
            <w:r w:rsidRPr="00EB097F">
              <w:rPr>
                <w:rFonts w:ascii="Arial" w:eastAsia="Times New Roman" w:hAnsi="Arial" w:cs="Arial"/>
                <w:color w:val="003399"/>
                <w:sz w:val="17"/>
                <w:szCs w:val="17"/>
                <w:lang w:eastAsia="es-AR"/>
              </w:rPr>
              <w:br/>
              <w:t>marcado un hito, pero todavía no tenemos una reconstrucción de ese estilo en Latinoamérica. Hoy tendemos a explicar todos los fenómenos</w:t>
            </w:r>
            <w:r w:rsidRPr="00EB097F">
              <w:rPr>
                <w:rFonts w:ascii="Arial" w:eastAsia="Times New Roman" w:hAnsi="Arial" w:cs="Arial"/>
                <w:color w:val="003399"/>
                <w:sz w:val="17"/>
                <w:szCs w:val="17"/>
                <w:lang w:eastAsia="es-AR"/>
              </w:rPr>
              <w:br/>
              <w:t>como el resultado de un desarrollo conceptual y creemos, por ejemplo, que la Carta Magna fue el resultado de alguna inspiración o el consejo de un sabio al rey y nos olvidamos que ella fue precedida de una verdadera guerra civil, que el Rey Juan la firmó porque fue derrotado y que los ejércitos de los barones estaban prontos a retomar las armas si ese documento no fuera aprobado. Cada rey inglés sucesivo trató de pasar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por encima de ella y su cumplimiento fue siempre el resultado de luchas y de correlaciones de fuerzas. Las sucesivas ratificaciones de la Carta Magna, por ejemplo, son la muestra de ese continuo tira y afloja por el uso del poder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memoria de las arbitrariedades se cristaliza en una oposición básica: poder penal/juicio previo. En esta oposición se resume la lucha</w:t>
            </w:r>
            <w:r w:rsidRPr="00EB097F">
              <w:rPr>
                <w:rFonts w:ascii="Arial" w:eastAsia="Times New Roman" w:hAnsi="Arial" w:cs="Arial"/>
                <w:color w:val="003399"/>
                <w:sz w:val="17"/>
                <w:szCs w:val="17"/>
                <w:lang w:eastAsia="es-AR"/>
              </w:rPr>
              <w:br/>
              <w:t>constante entre le poder penal que busca su eficiencia y las garantías que tratan de limitarlo.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eso, el juicio previo aparece como la garantía básica, como el derecho fundamental de las personas frente al ejercicio del poder penal. La situación de Latinoamérica, en ese sentido, nos señala que prácticamente no existe ese juicio previo y junto con su derrumbe se cae</w:t>
            </w:r>
            <w:r w:rsidRPr="00EB097F">
              <w:rPr>
                <w:rFonts w:ascii="Arial" w:eastAsia="Times New Roman" w:hAnsi="Arial" w:cs="Arial"/>
                <w:color w:val="003399"/>
                <w:sz w:val="17"/>
                <w:szCs w:val="17"/>
                <w:lang w:eastAsia="es-AR"/>
              </w:rPr>
              <w:br/>
              <w:t>el resto de las garantías.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Han existido y existen diversas formas cotidianas de violar ese derecho humano fundamental.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primer lugar existe, desde el inicio, una grave confusión conceptual. En la mayoría de las constituciones latinoamericanas se han mezclado por lo menos tres tradiciones. Una, proveniente de la Constitución norteamericana, es la que sostiene un sentido sustancial del juicio. En</w:t>
            </w:r>
            <w:r w:rsidRPr="00EB097F">
              <w:rPr>
                <w:rFonts w:ascii="Arial" w:eastAsia="Times New Roman" w:hAnsi="Arial" w:cs="Arial"/>
                <w:color w:val="003399"/>
                <w:sz w:val="17"/>
                <w:szCs w:val="17"/>
                <w:lang w:eastAsia="es-AR"/>
              </w:rPr>
              <w:br/>
              <w:t>la tradición anglosajona, que no es más que la vieja tradición europea, la voz juicio tiene un sentido único y claro (marcado por la inmediación, la publicidad y la defensa, por lo tanto la oralidad), que no puede suscitar equívocos.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 tradición fue claramente asumida por el temprano constitucionalismo latinoamericano -que buscaba en Norteamérica su modelo de República-, pero se fue lentamente desdibujando y mezclándose con otro concepto, el de la legalidad del proceso, esto es, la predeterminación de las formas procesales que sin duda es un principio valioso, pero como ya era conocido por el viejo sistema inquisitivo fue lentamente desplazando y neutralizando al concepto de juicio previo. La diferencia no es superficial o de simple enunciación. Se complica aun más el panorama con la aparición en la literatura y en la legislación constitucional hispanoamericana de un tercer principio -correspondiente a una tercera tradición- que es el de debido proceso, que en cierto modo comprende a los anteriores pero tiene un ámbito de actuación más amplio ya que, por un lado, choca con el principio de legalidad y, por el otro, significa el conjunto armónico de todas las garantías.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Pareciera, hasta este punto, que la superposición de estos tres principios: juicio previo, legalidad del proceso y debido proceso, debió haber producido un aumento general de la protección de las personas, pero no ha sido así. El efecto más nocivo de este laberinto de influencias ha sido la superficialización política del concepto de juicio previo. La enorme amplitud del principio del debido proceso y la estrechez formal del principio de legalidad ahogaron la enorme potencialidad política del principio de juicio previo y con él debilitaron la oposición básica, aquella sin la cual el derecho penal queda desbocado, sin control. Así se desnaturalizó el sentido político del juicio previo y se lo equiparó a cualquier trámite, a cualquier forma; finalmente proceso se equiparó a juicio y éste perdió la capacidad para oponerse al poder de encarcelar a las personas.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Este desdibujamiento de la idea del juicio se manifiesta de muchos modos. En primer lugar, se ha permitido que el poder penal evada al juicio y en la actualidad la principal manifestación de ese poder es la prisión preventiva. El 'preso sin condena', que mejor deberíamos llamarlo el 'preso sin juicio' -ya que la prisión preventiva funciona como una condena-, es la más clara demostración de esta maniobra evasiva del poder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segundo lugar, el valor determinante de la etapa de instrucción demuestra que la idea de centralidad de juicio ha perdido fuerza. Por</w:t>
            </w:r>
            <w:r w:rsidRPr="00EB097F">
              <w:rPr>
                <w:rFonts w:ascii="Arial" w:eastAsia="Times New Roman" w:hAnsi="Arial" w:cs="Arial"/>
                <w:color w:val="003399"/>
                <w:sz w:val="17"/>
                <w:szCs w:val="17"/>
                <w:lang w:eastAsia="es-AR"/>
              </w:rPr>
              <w:br/>
              <w:t>supuesto esa idea no significa que el cien por ciento de los casos se deban resolver en juicio oral -porque ello no ocurre en ningún sistema procesal-, sino que todo el proceso se organiza, técnica y políticamente desde la idea de juicio y sus atributos de inmediación, publicidad,</w:t>
            </w:r>
            <w:r w:rsidRPr="00EB097F">
              <w:rPr>
                <w:rFonts w:ascii="Arial" w:eastAsia="Times New Roman" w:hAnsi="Arial" w:cs="Arial"/>
                <w:color w:val="003399"/>
                <w:sz w:val="17"/>
                <w:szCs w:val="17"/>
                <w:lang w:eastAsia="es-AR"/>
              </w:rPr>
              <w:br/>
              <w:t>defensa y oralidad. Pero ello no sucede así; en algunos países donde reina todavía el sistema inquisitivo en su esplendor, la misma estructura del proceso escrito torna ridícula la idea misma del juicio; en otros, donde lo que existen son diferentes formas del sistema mixto, esto es, un sistema predominantemente inquisitivo con algunos componentes acusatorios, en especial el juicio oral, la fuerza de la etapa instructoria es tal que desnaturaliza al juicio, a través de la estructura de prueba, presunciones implícitas o de hecho, etc.</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Vemos, pues, que nos hemos acostumbrado a encerrar a los seres humanos en las cárceles sin antes haberlos juzgado o después de haberlo hecho de un modo superficial, lleno de presunciones (otro eufemismo que utilizamos para no decir simples prejuicios). Volvamos al principio de</w:t>
            </w:r>
            <w:r w:rsidRPr="00EB097F">
              <w:rPr>
                <w:rFonts w:ascii="Arial" w:eastAsia="Times New Roman" w:hAnsi="Arial" w:cs="Arial"/>
                <w:color w:val="003399"/>
                <w:sz w:val="17"/>
                <w:szCs w:val="17"/>
                <w:lang w:eastAsia="es-AR"/>
              </w:rPr>
              <w:br/>
              <w:t xml:space="preserve">esta exposición: la afirmación 'la administración de justicia viola permanentemente los derechos humanos' no es una metáfora, ni una exageración: hemos visto que ella encierra a los seres humanos en jaulas sin </w:t>
            </w:r>
            <w:r w:rsidRPr="00EB097F">
              <w:rPr>
                <w:rFonts w:ascii="Arial" w:eastAsia="Times New Roman" w:hAnsi="Arial" w:cs="Arial"/>
                <w:color w:val="003399"/>
                <w:sz w:val="17"/>
                <w:szCs w:val="17"/>
                <w:lang w:eastAsia="es-AR"/>
              </w:rPr>
              <w:lastRenderedPageBreak/>
              <w:t>haberles hecho juicio. La humanidad ha luchado mucho para asegurar esa conquista y no es casualidad que aparezca expresamente en todos los pactos de Derechos Humanos.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no nos damos cuenta de ello; nos importa poco o hemos perdido la sensibilidad frente a estas violaciones rutinarias a los derechos humanos.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 el derrumbamiento de la idea de juicio se cae también la idea misma del juez, porque ella está íntimamente ligada al principio de inmediación, cuyo valor político también ha sido superficializado.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Hemos convertido al juez en una maquinaria burocrática que se podrá llamar juzgado, tribunal, Cámara, Corte, pero que en esencia es una oficina administrativa que ha absorbido gran parte de las facultades judiciales.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personalización de la idea del juez tiene un alto contenido político. Hace a la configuración propia del poder judicial en el contexto de la</w:t>
            </w:r>
            <w:r w:rsidRPr="00EB097F">
              <w:rPr>
                <w:rFonts w:ascii="Arial" w:eastAsia="Times New Roman" w:hAnsi="Arial" w:cs="Arial"/>
                <w:color w:val="003399"/>
                <w:sz w:val="17"/>
                <w:szCs w:val="17"/>
                <w:lang w:eastAsia="es-AR"/>
              </w:rPr>
              <w:br/>
              <w:t>división de poderes. El poder judicial es un poder altamente personalizado, tanto por la importancia del juez como tal, como por tratarse de la instancia de gobierno donde el caso individual, el conflicto interpersonal individualizado, es el eje de la actuación. La idea de independencia judicial, de idoneidad, todos los sistemas de nombramiento, de carrera judicial, etc., se basan en la premisa de que el juez como tal es quien ejerce el poder judicial y la preocupación esencial de seleccionar a personas con determinadas calidades personales tiene que ver con la preocupación central de evitar la arbitrariedad que registra la memoria de nuestra civilización.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Frente a esto nos encontramos que gran parte de la actividad se desarrolla a través de estructuras burocráticas despersonalizadas, respecto de las cuales es imposible hablar de independencia, idoneidad personal o imparcialidad. Este fenómeno genera lo que podemos llamar dependencia burocrática del juez que es una de las formas más constantes y rutinarias de violar una garantía básica de los ciudadanos -y por lo tanto un derecho humano fundamental- como es la independencia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inmediación, tanto en su sentido subjetivo -comunicación con las partes-, como en su sentido objetivo-acceso directo a la información que proporcionan los medios de prueba-, es un principio político de tal naturaleza que está íntimamente vinculado con la figura misma del juez y su fuerza moral. Sin inmediación no hay juez. Miles de audiencias, decisiones, actas, etc, que se han encomendado al juez son realizadas por empleados subalternos -mejor o peor intencionados, mejor o peor preparados- que no son jueces. Esta ficción de la delegación de funciones -que hipócritamente se esconde tras la firma posterior de muchas actas y resoluciones- se la suele justificar como una necesidad del sistema, pero así se olvida que la independencia judicial no es un privilegio de los jueces o una necesidad de los abogados sino un derecho fundamental de los ciudadanos que necesitan que sus casos sean atendidos sin presiones, es decir, con imparcialidad.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Ya vimos que se ha debilitado enormemente la idea de juicio o que directamente no se lo practica, que la figura del juez ha sido reemplazada, en gran medida, por una estructura burocrática; así cabe preguntarse: ¿Qué queda de una verdadera justicia penal? Todavía es necesario avanzar más.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diseño republicano, ya vimos que el juicio está consustancialmente ligado a cierta estructura del juicio. Dentro de los pilares de esa estructura está la publicidad de ese juicio. Este principio también ha sido superficializado, para asegurar su violación. La publicidad no es</w:t>
            </w:r>
            <w:r w:rsidRPr="00EB097F">
              <w:rPr>
                <w:rFonts w:ascii="Arial" w:eastAsia="Times New Roman" w:hAnsi="Arial" w:cs="Arial"/>
                <w:color w:val="003399"/>
                <w:sz w:val="17"/>
                <w:szCs w:val="17"/>
                <w:lang w:eastAsia="es-AR"/>
              </w:rPr>
              <w:br/>
              <w:t>un principio que facilite el trabajo de los abogados; ella está ligada al control social sobre la justicia penal. La desconfianza que proviene</w:t>
            </w:r>
            <w:r w:rsidRPr="00EB097F">
              <w:rPr>
                <w:rFonts w:ascii="Arial" w:eastAsia="Times New Roman" w:hAnsi="Arial" w:cs="Arial"/>
                <w:color w:val="003399"/>
                <w:sz w:val="17"/>
                <w:szCs w:val="17"/>
                <w:lang w:eastAsia="es-AR"/>
              </w:rPr>
              <w:br/>
              <w:t>de la memoria de la crueldad ha hecho que se establezca la necesidad de que los jueces tomen la decisión de enjaular a una persona de cara al pueblo, de modo tal que se pueda saber las razones de tal decisión y el pueblo pueda juzgar la actuación de los jueces o por lo menos conocer</w:t>
            </w:r>
            <w:r w:rsidRPr="00EB097F">
              <w:rPr>
                <w:rFonts w:ascii="Arial" w:eastAsia="Times New Roman" w:hAnsi="Arial" w:cs="Arial"/>
                <w:color w:val="003399"/>
                <w:sz w:val="17"/>
                <w:szCs w:val="17"/>
                <w:lang w:eastAsia="es-AR"/>
              </w:rPr>
              <w:br/>
              <w:t>las razones. Ideas tales como prevención general, ejemplaridad de los fallos. etc. no tienen sentido sin una justicia pública. Por supuesto, la mayoría de las constituciones y las leyes procesales aceptan este principio, pero algo muy distinto sucede en la realidad. Los juicios en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Latinoamérica no son públicos y, de hecho, la sociedad no tiene posibilidades de controlar la actuación de los jueces. Esto es muy importante, porque existen grandes intentos por establecer mecanismos de control sobre la actuación de los jueces y existe una gran tendencia a establecer controles administrativos internos, nombrar supervisores y otros tantos mecanismos con una gran potencialidad destructora de la independencia judicial, pero se debilita, al mismo tiempo, la posibilidad de un control social sobre la administración de justicia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falta de publicidad se produce de muchas formas también. Nuevamente en los países que tienen un sistema escrito, porque son incompatibles la escritura y la publicidad; pero en aquellos que tienen juicio oral también existen formas de evitar la publicidad. De hecho no existe ninguna política de estímulo al </w:t>
            </w:r>
            <w:r w:rsidRPr="00EB097F">
              <w:rPr>
                <w:rFonts w:ascii="Arial" w:eastAsia="Times New Roman" w:hAnsi="Arial" w:cs="Arial"/>
                <w:color w:val="003399"/>
                <w:sz w:val="17"/>
                <w:szCs w:val="17"/>
                <w:lang w:eastAsia="es-AR"/>
              </w:rPr>
              <w:lastRenderedPageBreak/>
              <w:t>control social sobre las decisiones de los jueces.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Finalmente, no sólo hace falta un juicio -con características determinadas-, un juez -con atributos especiales- que lo lleve adelante, sino que es necesario asegurar la defensa del imputado. Dada la selectividad del sistema penal en su conjunto, gran parte, la mayoría de los imputados no está en condiciones de ser asistido por un defensor particular, que asegure un asesoramiento de calidad. Por lo tanto, la vigencia real del principio de defensa recae en gran medida en la posibilidad de establecer sistemas de defensa pública que sean eficaces. En la gran mayoría de los países latinoamericanos esos sistemas no existen; en otros, descansan antes que nada en estudiantes que realizan su práctica sin tomar conciencia de que así el sistema de defensa se convierte en un campo de experimentación con seres humanos y en otros, finalmente, existen sistemas más fuertes pero suelen estar saturados de trabajo o en clara inferioridad de condiciones respecto de los órganos de persecución. Por lo tanto, si a ello le sumamos las limitaciones que muchas leyes procesales traen al derecho de defensa, las limitaciones que provienen de una cultura judicial no muy proclive a aceptar los derechos del imputado, veremos que la situación es de gran debilidad para este principio.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Podemos concluir, en consecuencia, que: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Existen derechos humanos fundamentales ?reconocidos por todos los instrumentos internacionales? que establecen principios que deben ser respetados por todo sistema de justicia penal. Ellos se refieren a la idea del juicio como límite, a la existencia del juez imparcial e independiente, a la publicidad, a la defensa y a todos los principios que se pueden derivar de éstos.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En la rutina, en el desempeño cotidiano de nuestros tribunales se violan constantemente esos derechos, ya sea encerrando a las personas sin juicio o con un juicio que no responde a la idea sustancial de juicio, reemplazando al juez por funcionarios subalternos, olvidando la publicidad y limitando la defensa.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No existe una clara conciencia de estas graves violaciones a los derechos humanos fundamentales. Creemos que se trata de simples defectos</w:t>
            </w:r>
            <w:r w:rsidRPr="00EB097F">
              <w:rPr>
                <w:rFonts w:ascii="Arial" w:eastAsia="Times New Roman" w:hAnsi="Arial" w:cs="Arial"/>
                <w:color w:val="003399"/>
                <w:sz w:val="17"/>
                <w:szCs w:val="17"/>
                <w:lang w:eastAsia="es-AR"/>
              </w:rPr>
              <w:br/>
              <w:t>de procedimiento en el mejor de los casos o de necesidades ya que de otro modo no se puede luchar contra la criminalidad. Esta falta de</w:t>
            </w:r>
            <w:r w:rsidRPr="00EB097F">
              <w:rPr>
                <w:rFonts w:ascii="Arial" w:eastAsia="Times New Roman" w:hAnsi="Arial" w:cs="Arial"/>
                <w:color w:val="003399"/>
                <w:sz w:val="17"/>
                <w:szCs w:val="17"/>
                <w:lang w:eastAsia="es-AR"/>
              </w:rPr>
              <w:br/>
              <w:t>conciencia, de sensibilidad, en especial de los sectores jurídicos de nuestros países, condiciona la crítica y la transformación permanente de</w:t>
            </w:r>
            <w:r w:rsidRPr="00EB097F">
              <w:rPr>
                <w:rFonts w:ascii="Arial" w:eastAsia="Times New Roman" w:hAnsi="Arial" w:cs="Arial"/>
                <w:color w:val="003399"/>
                <w:sz w:val="17"/>
                <w:szCs w:val="17"/>
                <w:lang w:eastAsia="es-AR"/>
              </w:rPr>
              <w:br/>
              <w:t>nuestros sistemas judiciales, ya que, en definitiva, el sistema judicial como tal es sostenido por el conjunto de la comunidad jurídica, que a su</w:t>
            </w:r>
            <w:r w:rsidRPr="00EB097F">
              <w:rPr>
                <w:rFonts w:ascii="Arial" w:eastAsia="Times New Roman" w:hAnsi="Arial" w:cs="Arial"/>
                <w:color w:val="003399"/>
                <w:sz w:val="17"/>
                <w:szCs w:val="17"/>
                <w:lang w:eastAsia="es-AR"/>
              </w:rPr>
              <w:br/>
              <w:t>vez, lo vuelve impermeable frente al resto de la sociedad.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Vemos, pues, que no sólo es necesario afirmar que la administración de justicia no castiga las violaciones a los derechos humanos, no controla la policía y otras tantas realidades que demuestran su ineficacia como medio de protección de los ciudadanos sino que también es necesario sostener con firmeza que la justicia penal misma viola constantemente derechos humanos fundamentales, reconocidos formalmente como garantías judiciales mínimas, sin las cuales no se puede hablar de un Estado de Derecho.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Frente a este panorama, la pregunta será: ¿Se puede hacer algo?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III. La reconstrucción de la justicia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¿Posibilidad?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primer lugar cabe preguntarse: ¿Existe la posibilidad de una justicia penal diferente, que no viole los derechos fundamentales de las personas, en fin, una justicia penal que valga la pena construir? La respuesta no es sencilla.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Primeramente, se debe tomar conciencia de que no puede existir una justicia penal totalmente buena. Aun si asumimos que ella es un mecanismo para aplicar con el menor rigor posible, con la menor arbitrariedad posible una pena de cárcel, lo cierto es que la crueldad de la consecuencia (la cárcel, el encierro, la mutilación de libertad) hace que siempre se filtre algo de esa crueldad a los mecanismos de aplicación. El castigo se define esencialmente por algún contenido de violencia y por eso la administración de justicia penal será siempre una forma de administrar violencia y, por lo tanto, siempre tendrá una cuota de crueldad. En esto tenía razón Radbruch, el derecho penal bueno y la justicia penal buena es aquélla que no existe.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Aquí se abren tres caminos: uno personal y dos políticos. El personal es abandonar este tema. Asumir que algo siempre tendrá una cuota de maldad</w:t>
            </w:r>
            <w:r w:rsidRPr="00EB097F">
              <w:rPr>
                <w:rFonts w:ascii="Arial" w:eastAsia="Times New Roman" w:hAnsi="Arial" w:cs="Arial"/>
                <w:color w:val="003399"/>
                <w:sz w:val="17"/>
                <w:szCs w:val="17"/>
                <w:lang w:eastAsia="es-AR"/>
              </w:rPr>
              <w:br/>
              <w:t xml:space="preserve">es una carga demasiado fuerte para mucha gente y es perfectamente razonable elegir otros caminos, </w:t>
            </w:r>
            <w:r w:rsidRPr="00EB097F">
              <w:rPr>
                <w:rFonts w:ascii="Arial" w:eastAsia="Times New Roman" w:hAnsi="Arial" w:cs="Arial"/>
                <w:color w:val="003399"/>
                <w:sz w:val="17"/>
                <w:szCs w:val="17"/>
                <w:lang w:eastAsia="es-AR"/>
              </w:rPr>
              <w:lastRenderedPageBreak/>
              <w:t>otras construcciones sociales donde sí es posible llegar a construir algo esencialmente bueno, aunque sea difícil, como un sistema de educación, por ejemplo. El segundo camino, político, es trabajar para la destrucción de la justicia penal. Este es un camino válido, discutible en el plano estratégico, pero con gran fuerza en cuanto a sus fundamentos últimos. Y el tercer camino, que es el que en estos momentos elijo personalmente, consiste en generar políticas permanentes de transformación, de reducción de la violencia, con énfasis en el sistema de garantías, pero sin abandonar la construcción de una justicia alternativa.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Quizás esto requiera alguna explicación. En primer lugar se trata de una política permanente de transformación, un programa abierto, que comience pero no tenga fin, una crítica permanente al sistema judicial. Este es el contenido verdadero de una política judicial (a diferencia de las</w:t>
            </w:r>
            <w:r w:rsidRPr="00EB097F">
              <w:rPr>
                <w:rFonts w:ascii="Arial" w:eastAsia="Times New Roman" w:hAnsi="Arial" w:cs="Arial"/>
                <w:color w:val="003399"/>
                <w:sz w:val="17"/>
                <w:szCs w:val="17"/>
                <w:lang w:eastAsia="es-AR"/>
              </w:rPr>
              <w:br/>
              <w:t>políticas de emergencia, tal como se están realizando en la mayoría de países de Latinoamérica). Uso la palabra transformación para poner</w:t>
            </w:r>
            <w:r w:rsidRPr="00EB097F">
              <w:rPr>
                <w:rFonts w:ascii="Arial" w:eastAsia="Times New Roman" w:hAnsi="Arial" w:cs="Arial"/>
                <w:color w:val="003399"/>
                <w:sz w:val="17"/>
                <w:szCs w:val="17"/>
                <w:lang w:eastAsia="es-AR"/>
              </w:rPr>
              <w:br/>
              <w:t>énfasis en la profundidad. Un programa abierto y crítico, dispuesto siempre a transformar, aunque lo que produzca sean meras reformas. Por</w:t>
            </w:r>
            <w:r w:rsidRPr="00EB097F">
              <w:rPr>
                <w:rFonts w:ascii="Arial" w:eastAsia="Times New Roman" w:hAnsi="Arial" w:cs="Arial"/>
                <w:color w:val="003399"/>
                <w:sz w:val="17"/>
                <w:szCs w:val="17"/>
                <w:lang w:eastAsia="es-AR"/>
              </w:rPr>
              <w:br/>
              <w:t>eso siempre se debe estar construyendo un modelo alternativo, desde el cual interpelar al sistema de justicia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 un objetivo de reducción de la violencia. El principio de mínima intervención no es sólo un mandato para el derecho penal sustantivo. Es</w:t>
            </w:r>
            <w:r w:rsidRPr="00EB097F">
              <w:rPr>
                <w:rFonts w:ascii="Arial" w:eastAsia="Times New Roman" w:hAnsi="Arial" w:cs="Arial"/>
                <w:color w:val="003399"/>
                <w:sz w:val="17"/>
                <w:szCs w:val="17"/>
                <w:lang w:eastAsia="es-AR"/>
              </w:rPr>
              <w:br/>
              <w:t>también un mandato para los sistemas procesales, tanto en la reducción de las violencias procesales como el hecho de que el sistema procesal</w:t>
            </w:r>
            <w:r w:rsidRPr="00EB097F">
              <w:rPr>
                <w:rFonts w:ascii="Arial" w:eastAsia="Times New Roman" w:hAnsi="Arial" w:cs="Arial"/>
                <w:color w:val="003399"/>
                <w:sz w:val="17"/>
                <w:szCs w:val="17"/>
                <w:lang w:eastAsia="es-AR"/>
              </w:rPr>
              <w:br/>
              <w:t>debe tratar de evitar el castigo concreto. Se ha insistido mucho en el proceso como un sistema de realización, pero también se debe destacar</w:t>
            </w:r>
            <w:r w:rsidRPr="00EB097F">
              <w:rPr>
                <w:rFonts w:ascii="Arial" w:eastAsia="Times New Roman" w:hAnsi="Arial" w:cs="Arial"/>
                <w:color w:val="003399"/>
                <w:sz w:val="17"/>
                <w:szCs w:val="17"/>
                <w:lang w:eastAsia="es-AR"/>
              </w:rPr>
              <w:br/>
              <w:t>que es un sistema de resistencia, que debe tratar de impedir la aplicación del castigo. Tras este principio, no sólo se esconde la tensión entre garantías y eficiencias sino todo un programa procesal basado en la subsidiariedad de la acción penal. Ella es un recurso secundario, subordinado al ejercicio de la acción civil, incluso en el proceso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eso el énfasis en el sistema de garantías, ya que ellas no deben ser entendidas de un modo unitario sino como la expresión estructurada de</w:t>
            </w:r>
            <w:r w:rsidRPr="00EB097F">
              <w:rPr>
                <w:rFonts w:ascii="Arial" w:eastAsia="Times New Roman" w:hAnsi="Arial" w:cs="Arial"/>
                <w:color w:val="003399"/>
                <w:sz w:val="17"/>
                <w:szCs w:val="17"/>
                <w:lang w:eastAsia="es-AR"/>
              </w:rPr>
              <w:br/>
              <w:t>todo un programa de acción, vinculado a la idea misma del Estado de Derecho.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Finalmente, sin abandonar la idea de construcción de la justicia penal, es decir, no sólo como un programa de destrucción sino de permanente construcción de alternativas. Ello significa hacerse cargo de problemas tales como los de eficiencia del sistema y no sólo de aquéllos basados en la idea de control.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Todo ello enmarcado en una continua y renovada reflexión sobre los fundamentos (aquello que he llamado metapolítica judicial) ya que así</w:t>
            </w:r>
            <w:r w:rsidRPr="00EB097F">
              <w:rPr>
                <w:rFonts w:ascii="Arial" w:eastAsia="Times New Roman" w:hAnsi="Arial" w:cs="Arial"/>
                <w:color w:val="003399"/>
                <w:sz w:val="17"/>
                <w:szCs w:val="17"/>
                <w:lang w:eastAsia="es-AR"/>
              </w:rPr>
              <w:br/>
              <w:t>como la reflexión sobre el castigo es una actividad permanente y nunca definitiva, lo mismo debe suceder con preguntas, tales como ¿Para qué</w:t>
            </w:r>
            <w:r w:rsidRPr="00EB097F">
              <w:rPr>
                <w:rFonts w:ascii="Arial" w:eastAsia="Times New Roman" w:hAnsi="Arial" w:cs="Arial"/>
                <w:color w:val="003399"/>
                <w:sz w:val="17"/>
                <w:szCs w:val="17"/>
                <w:lang w:eastAsia="es-AR"/>
              </w:rPr>
              <w:br/>
              <w:t>sirve la administración de justicia? ¿Qué debe hacer un juez? y otras tantas a las que hoy sólo le damos una respuesta estereotipada.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definitiva, creo que existe una posibilidad, pero esa posibilidad de construcción de una justicia penal no puede ser encarada sin conciencia</w:t>
            </w:r>
            <w:r w:rsidRPr="00EB097F">
              <w:rPr>
                <w:rFonts w:ascii="Arial" w:eastAsia="Times New Roman" w:hAnsi="Arial" w:cs="Arial"/>
                <w:color w:val="003399"/>
                <w:sz w:val="17"/>
                <w:szCs w:val="17"/>
                <w:lang w:eastAsia="es-AR"/>
              </w:rPr>
              <w:br/>
              <w:t>o con una conciencia ingenua. Mientras el modo de castigar a nuestros semejantes sea encerrarlos en jaulas, no existe posibilidad de un sistema procesal incruento ni de una ciencia procesal inocente, pese a que muchos cultivadores del derecho procesal pretenden ocultar esta crueldad latente en infinitas e inútiles clasificaciones, u otorgando importancia a problemas de trámite en desmedro de los verdaderos problemas procesales-penales que necesariamente están vinculados al ejercicio de la crueldad de la pena.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Repensar los sujetos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Una verdadera política judicial nos obliga a repensar los sujetos de esa política. Sin duda la afirmación de que el problema de la administración</w:t>
            </w:r>
            <w:r w:rsidRPr="00EB097F">
              <w:rPr>
                <w:rFonts w:ascii="Arial" w:eastAsia="Times New Roman" w:hAnsi="Arial" w:cs="Arial"/>
                <w:color w:val="003399"/>
                <w:sz w:val="17"/>
                <w:szCs w:val="17"/>
                <w:lang w:eastAsia="es-AR"/>
              </w:rPr>
              <w:br/>
              <w:t>de justicia es un problema del conjunto de la sociedad y no de los jueces y de los abogados es una verdad elemental que no debemos perder</w:t>
            </w:r>
            <w:r w:rsidRPr="00EB097F">
              <w:rPr>
                <w:rFonts w:ascii="Arial" w:eastAsia="Times New Roman" w:hAnsi="Arial" w:cs="Arial"/>
                <w:color w:val="003399"/>
                <w:sz w:val="17"/>
                <w:szCs w:val="17"/>
                <w:lang w:eastAsia="es-AR"/>
              </w:rPr>
              <w:br/>
              <w:t>de vista. Sin embargo, es necesario sacar esa idea de una formulación sencilla y apologética.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este sentido queda todavía mucho que reflexionar, en especial acerca de dos figuras, sobre las cuales quiero centrar mi exposición: el juez y el pueblo en su conjunto. Ambos, si no exclusivos, deben ser protagonistas del proceso permanente de transformación de la justicia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El juez</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Si en gran medida un programa de transformación permanente de la justicia penal se basa en la continua preservación de la idea de centralidad del juicio, como punto máximo de concentración de las garantías ciudadanas, resulta obvio que la figura del juez también adquiere centralidad. No hay juicio sin juez, pero tampoco hay juez sin juicio.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ello, un programa de transformación de la justicia se preocupa del rescate y preservación permanente del juez. El propio juez debe ser</w:t>
            </w:r>
            <w:r w:rsidRPr="00EB097F">
              <w:rPr>
                <w:rFonts w:ascii="Arial" w:eastAsia="Times New Roman" w:hAnsi="Arial" w:cs="Arial"/>
                <w:color w:val="003399"/>
                <w:sz w:val="17"/>
                <w:szCs w:val="17"/>
                <w:lang w:eastAsia="es-AR"/>
              </w:rPr>
              <w:br/>
              <w:t>protagonista cotidiano de esta preservación y rescate. Rescatar el poder del juez de la dependencia burocrática, de la dependencia política, de</w:t>
            </w:r>
            <w:r w:rsidRPr="00EB097F">
              <w:rPr>
                <w:rFonts w:ascii="Arial" w:eastAsia="Times New Roman" w:hAnsi="Arial" w:cs="Arial"/>
                <w:color w:val="003399"/>
                <w:sz w:val="17"/>
                <w:szCs w:val="17"/>
                <w:lang w:eastAsia="es-AR"/>
              </w:rPr>
              <w:br/>
              <w:t>la dependencia funcional.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Pero la pregunta debe ser, entonces, ¿cómo es posible que estos jueces que mantienen una administración de justicia, que como vimos viola los derechos humanos, se conviertan en protagonistas de un proceso permanente de cambio?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Sólo será posible si existe un radical cambio de estrategia en la forma de acumular poder por parte de los jueces y de la administración de justicia. En primer lugar la idea misma de acumular poder suena extraña para los jueces y para todos nosotros. ¿No es eso propio de políticos? ¿No es que el poder judicial debe estar por afuera de todo juego político?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 extraño proviene de la idea de acumular no el ejercicio de poder, ya que los jueces tienen conciencia de que ejercen poder. Lo que sucede es que en Latinoamérica la estructura del poder judicial es eminentemente monárquica y por lo tanto el juez percibe que ejerce un poder delegado.</w:t>
            </w:r>
            <w:r w:rsidRPr="00EB097F">
              <w:rPr>
                <w:rFonts w:ascii="Arial" w:eastAsia="Times New Roman" w:hAnsi="Arial" w:cs="Arial"/>
                <w:color w:val="003399"/>
                <w:sz w:val="17"/>
                <w:szCs w:val="17"/>
                <w:lang w:eastAsia="es-AR"/>
              </w:rPr>
              <w:br/>
              <w:t>Tiene conciencia, además, de que su poder es delegado. Por ello el poder judicial tiene una política peticionaria de acumulación de poder. Le</w:t>
            </w:r>
            <w:r w:rsidRPr="00EB097F">
              <w:rPr>
                <w:rFonts w:ascii="Arial" w:eastAsia="Times New Roman" w:hAnsi="Arial" w:cs="Arial"/>
                <w:color w:val="003399"/>
                <w:sz w:val="17"/>
                <w:szCs w:val="17"/>
                <w:lang w:eastAsia="es-AR"/>
              </w:rPr>
              <w:br/>
              <w:t>pide poder a los políticos o le pide poder a la prensa o a otros sectores de poder. De este modo se genera desde la base una política de dependencia. El poder judicial desconoce que es una regla básica de toda sociedad política que el poder se conquista; no se regala. En esta</w:t>
            </w:r>
            <w:r w:rsidRPr="00EB097F">
              <w:rPr>
                <w:rFonts w:ascii="Arial" w:eastAsia="Times New Roman" w:hAnsi="Arial" w:cs="Arial"/>
                <w:color w:val="003399"/>
                <w:sz w:val="17"/>
                <w:szCs w:val="17"/>
                <w:lang w:eastAsia="es-AR"/>
              </w:rPr>
              <w:br/>
              <w:t>estrategia peticionaria, la delegación de poder que se hace en los jueces siempre tendrá algún precio, que la situación de cada país determinará.</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Urge, pues, la elaboración de una nueva estrategia de poder, basada en la generación de un poder autónomo. Para lograrlo, el poder judicial debe asumir dos tareas: en primer lugar convertirse él mismo en agente de su propia transformación. Hasta ahora, en Latinoamérica la reforma de</w:t>
            </w:r>
            <w:r w:rsidRPr="00EB097F">
              <w:rPr>
                <w:rFonts w:ascii="Arial" w:eastAsia="Times New Roman" w:hAnsi="Arial" w:cs="Arial"/>
                <w:color w:val="003399"/>
                <w:sz w:val="17"/>
                <w:szCs w:val="17"/>
                <w:lang w:eastAsia="es-AR"/>
              </w:rPr>
              <w:br/>
              <w:t>la justicia penal ha sido una actividad exógena al poder judicial. Es necesario que esto cambie y provengan fuerzas interiores de permanente</w:t>
            </w:r>
            <w:r w:rsidRPr="00EB097F">
              <w:rPr>
                <w:rFonts w:ascii="Arial" w:eastAsia="Times New Roman" w:hAnsi="Arial" w:cs="Arial"/>
                <w:color w:val="003399"/>
                <w:sz w:val="17"/>
                <w:szCs w:val="17"/>
                <w:lang w:eastAsia="es-AR"/>
              </w:rPr>
              <w:br/>
              <w:t>transformación.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segundo lugar, una estrategia autónoma de acumulación de poder por parte de los jueces debe basarse en una nueva relación con el pueblo,</w:t>
            </w:r>
            <w:r w:rsidRPr="00EB097F">
              <w:rPr>
                <w:rFonts w:ascii="Arial" w:eastAsia="Times New Roman" w:hAnsi="Arial" w:cs="Arial"/>
                <w:color w:val="003399"/>
                <w:sz w:val="17"/>
                <w:szCs w:val="17"/>
                <w:lang w:eastAsia="es-AR"/>
              </w:rPr>
              <w:br/>
              <w:t>con la sociedad en su conjunto.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Allí está el nutriente básico de un poder judicial republicano. Pero para ello es necesario superar el abismo existente entre la sociedad y sus jueces. El poder judicial no es confiable ?y con razón? para la mayoría de los ciudadanos. Construir los puentes que permitan esa apertura es quizás una de las tareas más importantes de los próximos años, si se quiere fomentar una política que ataque la dependencia desde su raíz, que está en la estrategia peticionaria del poder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El pueblo. Nuevas categorías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sociedad aparece así como un sujeto que debe ser repensado, en el conjunto de un plan de permanente crítica y transformación de lo judicial.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Repensar las relaciones entre el pueblo y sus jueces no es tarea sencilla, ya que es necesario enmarcarlas en el contexto cultural, político y económico de cada época y circunstancia. Sin embargo, las categorías básicas siguen sirviendo como punto de apoyo para una nueva reflexión.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publicidad, como mecanismo para el control social, señala todavía que el pueblo debe cumplir una función de control. Sin embargo, ya no se puede pensar la publicidad en el marco estrecho de la puerta abierta durante el juicio. En primer lugar los medios de comunicación de la sociedad de masas han complicado el problema ya que por un lado abren enormes y positivas posibilidades de control, pero, por el otro, generan una concentración de poder de empresas y mediatizan al ciudadano a través de la creación o manipulación de la opinión pública.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Por otra parte, ya no alcanza con una mera posibilidad de control. El debe ser promovido como parte de </w:t>
            </w:r>
            <w:r w:rsidRPr="00EB097F">
              <w:rPr>
                <w:rFonts w:ascii="Arial" w:eastAsia="Times New Roman" w:hAnsi="Arial" w:cs="Arial"/>
                <w:color w:val="003399"/>
                <w:sz w:val="17"/>
                <w:szCs w:val="17"/>
                <w:lang w:eastAsia="es-AR"/>
              </w:rPr>
              <w:lastRenderedPageBreak/>
              <w:t>una política de participación política.</w:t>
            </w:r>
            <w:r w:rsidRPr="00EB097F">
              <w:rPr>
                <w:rFonts w:ascii="Arial" w:eastAsia="Times New Roman" w:hAnsi="Arial" w:cs="Arial"/>
                <w:color w:val="003399"/>
                <w:sz w:val="17"/>
                <w:szCs w:val="17"/>
                <w:lang w:eastAsia="es-AR"/>
              </w:rPr>
              <w:br/>
              <w:t>El control ciudadano debe ser estimulado, la idea de control debe ser tomada en cuenta a la hora de crear tribunales, de diseñar salas de</w:t>
            </w:r>
            <w:r w:rsidRPr="00EB097F">
              <w:rPr>
                <w:rFonts w:ascii="Arial" w:eastAsia="Times New Roman" w:hAnsi="Arial" w:cs="Arial"/>
                <w:color w:val="003399"/>
                <w:sz w:val="17"/>
                <w:szCs w:val="17"/>
                <w:lang w:eastAsia="es-AR"/>
              </w:rPr>
              <w:br/>
              <w:t>audiencia, de dividir las competencias, etc.</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Algo similar sucede con la institución de los jurados. Ella sirve de base para una nueva reflexión, pero debe ser repensada, a través de nuevas formas de participación. La idea básica que subyace en la idea del jurado es que el pueblo debe ser copartícipe de la configuración de la política criminal. Para ello se deben conocer todos los mecanismos de configuración de la política criminal y diseñar desde allí las formas de participación.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Dentro de las nuevas formas de participación se hallan todas las formas de acción colectiva, basadas en la sana idea de que toda apelación al ciudadano aislado se puede convertir en una ficción ya que el individuo, en una sociedad de masas, suele quedar aislado, carente de poder. Las organizaciones de distinto tipo aparecen como puntos de concentración de poder de los ciudadanos. Es necesario, pues, abrirles las puertas de la justicia penal. No sólo a través de la participación de las asociaciones sino mediante la creación de redes de defensa comunitaria. Conectar redes de defensa comunitaria con la justicia, a través de la acción colectiva, permitirá generar, a mi juicio, una nueva mecánica de poder dentro del poder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Pero todo esto no tendrá posibilidades de éxito si el pueblo no encuentra en la administración de justicia una ayuda para sus problemas. Esta idea tan simple como esencial, es la base de la construcción de los puentes que permitan superar los abismos que hoy existen entre la ciudadanía y los jueces. Solucionar los conflictos de la gente es la misión esencial de la administración de justicia y hoy, en gran medida, la justicia no está en condiciones de hacerlo o no quiere hacerlo.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definitiva, es necesario repensar la función de la sociedad a partir de un replanteo de la idea de control social (publicidad), de la idea de participación en la configuración de la política criminal (jurados), en la creación de redes de defensa (acción colectiva); todo ello en el</w:t>
            </w:r>
            <w:r w:rsidRPr="00EB097F">
              <w:rPr>
                <w:rFonts w:ascii="Arial" w:eastAsia="Times New Roman" w:hAnsi="Arial" w:cs="Arial"/>
                <w:color w:val="003399"/>
                <w:sz w:val="17"/>
                <w:szCs w:val="17"/>
                <w:lang w:eastAsia="es-AR"/>
              </w:rPr>
              <w:br/>
              <w:t>marco de una justicia que solucione o ayude a solucionar los conflictos de los ciudadanos.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IV. Aquí y ahora en Latinoamérica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Aquí y ahora en Latinoamérica se está desarrollando un movimiento importante de reforma de la justicia penal. La gran mayoría de los países se encuentran desarrollando programas de transformación de la justicia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gran medida este movimiento de reforma está entrando en una segunda etapa con nuevos desafíos y nuevos logros. Estos primeros diez años han producido algunos resultados y también ha desnudado grandes dificultades. En primer lugar hemos descubierto la complejidad de lo</w:t>
            </w:r>
            <w:r w:rsidRPr="00EB097F">
              <w:rPr>
                <w:rFonts w:ascii="Arial" w:eastAsia="Times New Roman" w:hAnsi="Arial" w:cs="Arial"/>
                <w:color w:val="003399"/>
                <w:sz w:val="17"/>
                <w:szCs w:val="17"/>
                <w:lang w:eastAsia="es-AR"/>
              </w:rPr>
              <w:br/>
              <w:t>judicial, que antes se trataba de explicar sólo en términos procesales y a veces constitucionales. Hoy sabemos que la cuestión judicial es</w:t>
            </w:r>
            <w:r w:rsidRPr="00EB097F">
              <w:rPr>
                <w:rFonts w:ascii="Arial" w:eastAsia="Times New Roman" w:hAnsi="Arial" w:cs="Arial"/>
                <w:color w:val="003399"/>
                <w:sz w:val="17"/>
                <w:szCs w:val="17"/>
                <w:lang w:eastAsia="es-AR"/>
              </w:rPr>
              <w:br/>
              <w:t>tremendamente más compleja. Lo que no hemos aprendido todavía es a operar en esa complejidad. Esa es la tarea pendiente. Por otra parte, se</w:t>
            </w:r>
            <w:r w:rsidRPr="00EB097F">
              <w:rPr>
                <w:rFonts w:ascii="Arial" w:eastAsia="Times New Roman" w:hAnsi="Arial" w:cs="Arial"/>
                <w:color w:val="003399"/>
                <w:sz w:val="17"/>
                <w:szCs w:val="17"/>
                <w:lang w:eastAsia="es-AR"/>
              </w:rPr>
              <w:br/>
              <w:t>ha logrado mantener el problema judicial como uno de los temas importantes de la transición democrática. En sus inicios la reforma de la justicia se basa exclusivamente en una lógica de los derechos humanos, en la necesidad de dar respuesta al terrorismo de Estado. Paulatinamente se introdujo la lógica del mercado, de la seguridad jurídica para las inversiones y para el crecimiento y expansión del capitalismo. Aunque suene paradójico lo que ha permitido avanzar al movimiento de reforma ha sido la conjunción de estas dos lógicas en la idea común de Estado de Derecho. Esta conjunción se ha comenzado a resquebrajar y junto con ella todo el sistema de alianzas políticas que ha permitido que la reforma de la justicia no sea sólo un movimiento intelectual sino que se haya instalado verdaderamente en la dinámica política de cada país.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Pero, todavía, la justicia penal monárquica, insensible, que en su rutina viola los derechos humanos, está prácticamente intacta en latinoamérica. Ella está sostenida por una profunda cultura inquisitiva (el sistema inquisitivo no sólo es un sistema procesal sino un modo global de ejercer el poder penal, un modelo completo ?quizás el más completo? de política criminal) que todavía está vigente.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Hoy en Latinoamérica se está en momento de transición entre estas dos etapas del movimiento de reforma y existen diversos desafíos muy</w:t>
            </w:r>
            <w:r w:rsidRPr="00EB097F">
              <w:rPr>
                <w:rFonts w:ascii="Arial" w:eastAsia="Times New Roman" w:hAnsi="Arial" w:cs="Arial"/>
                <w:color w:val="003399"/>
                <w:sz w:val="17"/>
                <w:szCs w:val="17"/>
                <w:lang w:eastAsia="es-AR"/>
              </w:rPr>
              <w:br/>
              <w:t>cercanos. ¿Cómo incorporar al poder judicial al movimiento de reforma, sin que ella se convierta en un mero maquillaje de lo ya existente?</w:t>
            </w:r>
            <w:r w:rsidRPr="00EB097F">
              <w:rPr>
                <w:rFonts w:ascii="Arial" w:eastAsia="Times New Roman" w:hAnsi="Arial" w:cs="Arial"/>
                <w:color w:val="003399"/>
                <w:sz w:val="17"/>
                <w:szCs w:val="17"/>
                <w:lang w:eastAsia="es-AR"/>
              </w:rPr>
              <w:br/>
              <w:t>¿Cómo incorporar a la Universidad, que es la otra gran ausente y que reproduce constantemente la cultura inquisitiva, sin cambiar el eje de</w:t>
            </w:r>
            <w:r w:rsidRPr="00EB097F">
              <w:rPr>
                <w:rFonts w:ascii="Arial" w:eastAsia="Times New Roman" w:hAnsi="Arial" w:cs="Arial"/>
                <w:color w:val="003399"/>
                <w:sz w:val="17"/>
                <w:szCs w:val="17"/>
                <w:lang w:eastAsia="es-AR"/>
              </w:rPr>
              <w:br/>
              <w:t xml:space="preserve">reforma que debe seguir siendo la justicia y no la universidad? ¿Cómo mantener la conjunción de la lógica </w:t>
            </w:r>
            <w:r w:rsidRPr="00EB097F">
              <w:rPr>
                <w:rFonts w:ascii="Arial" w:eastAsia="Times New Roman" w:hAnsi="Arial" w:cs="Arial"/>
                <w:color w:val="003399"/>
                <w:sz w:val="17"/>
                <w:szCs w:val="17"/>
                <w:lang w:eastAsia="es-AR"/>
              </w:rPr>
              <w:lastRenderedPageBreak/>
              <w:t>de los derechos humanos, con la</w:t>
            </w:r>
            <w:r w:rsidRPr="00EB097F">
              <w:rPr>
                <w:rFonts w:ascii="Arial" w:eastAsia="Times New Roman" w:hAnsi="Arial" w:cs="Arial"/>
                <w:color w:val="003399"/>
                <w:sz w:val="17"/>
                <w:szCs w:val="17"/>
                <w:lang w:eastAsia="es-AR"/>
              </w:rPr>
              <w:br/>
              <w:t>lógica de la seguridad jurídica, bajo el manto común del Estado de Derecho, sin que se agudice el deslizamiento autoritario que poco a poco</w:t>
            </w:r>
            <w:r w:rsidRPr="00EB097F">
              <w:rPr>
                <w:rFonts w:ascii="Arial" w:eastAsia="Times New Roman" w:hAnsi="Arial" w:cs="Arial"/>
                <w:color w:val="003399"/>
                <w:sz w:val="17"/>
                <w:szCs w:val="17"/>
                <w:lang w:eastAsia="es-AR"/>
              </w:rPr>
              <w:br/>
              <w:t>se vislumbra? ¿Cómo lograr que sectores políticos e intelectuales comprometidos con los derechos humanos continúen con un protagonismo que hasta ahora han tenido, en gran medida sobre la base de una preminencia técnica de esos sectores, pero que poco a poco se va ebilitando? ¿Cómo lograr que la enorme afluencia de dinero que existe en Latinoamérica para programas de reforma judicial no distorsione todo el problema, imponiendo las perspectivas de las organizaciones donantes o transformando un problema político esencial para nuestras democracias en</w:t>
            </w:r>
            <w:r w:rsidRPr="00EB097F">
              <w:rPr>
                <w:rFonts w:ascii="Arial" w:eastAsia="Times New Roman" w:hAnsi="Arial" w:cs="Arial"/>
                <w:color w:val="003399"/>
                <w:sz w:val="17"/>
                <w:szCs w:val="17"/>
                <w:lang w:eastAsia="es-AR"/>
              </w:rPr>
              <w:br/>
              <w:t>un problema de negocio para unos cuantos?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Son muchos los desafíos. El movimiento de derechos humanos debe comprender que el problema de los derechos humanos, en el contexto de una democracia, aunque sea débil, se confunde necesariamente con el problema de la administración de justicia. No comprender esto ha llevado</w:t>
            </w:r>
            <w:r w:rsidRPr="00EB097F">
              <w:rPr>
                <w:rFonts w:ascii="Arial" w:eastAsia="Times New Roman" w:hAnsi="Arial" w:cs="Arial"/>
                <w:color w:val="003399"/>
                <w:sz w:val="17"/>
                <w:szCs w:val="17"/>
                <w:lang w:eastAsia="es-AR"/>
              </w:rPr>
              <w:br/>
              <w:t>en algunos países a que el movimiento de derechos humanos se aísle y pierda gran parte de la fuerza que tuvo en las décadas pasadas.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Son muchos los desafíos y urge una reflexión colectiva sobre todos ellos. Una reflexión profunda pero que no paralice. Este no es un problema científico, aunque los científicos puedan encararlo de este modo. Es un problema político y como tal requiere una perspectiva política y una estrategia política.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definitiva, la justicia penal en América Latina está a la búsqueda de una nueva identidad. Todavía no sabemos si logrará convertirse en una</w:t>
            </w:r>
            <w:r w:rsidRPr="00EB097F">
              <w:rPr>
                <w:rFonts w:ascii="Arial" w:eastAsia="Times New Roman" w:hAnsi="Arial" w:cs="Arial"/>
                <w:color w:val="003399"/>
                <w:sz w:val="17"/>
                <w:szCs w:val="17"/>
                <w:lang w:eastAsia="es-AR"/>
              </w:rPr>
              <w:br/>
              <w:t>verdadera institución de preservación de los derechos fundamentales o, al contrario, ella misma seguirá violándolos con su rutina parentemente inocente. Pero la lucha está allí, instalada en nuestro presente y, por lo tanto, nuestras acciones y nuestras omisiones estarán referenciadas</w:t>
            </w:r>
            <w:r w:rsidRPr="00EB097F">
              <w:rPr>
                <w:rFonts w:ascii="Arial" w:eastAsia="Times New Roman" w:hAnsi="Arial" w:cs="Arial"/>
                <w:color w:val="003399"/>
                <w:sz w:val="17"/>
                <w:szCs w:val="17"/>
                <w:lang w:eastAsia="es-AR"/>
              </w:rPr>
              <w:br/>
              <w:t xml:space="preserve">por este problema político del cual depende, en gran medida, la profundización de la democracia o la reaparición, incluso en el corto plazo, del Estado policial que ha matado en los últimos años a muchos de los mejores hombres de América Latina.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7" w:name="17"/>
            <w:bookmarkEnd w:id="17"/>
            <w:r w:rsidRPr="00EB097F">
              <w:rPr>
                <w:rFonts w:ascii="Arial" w:eastAsia="Times New Roman" w:hAnsi="Arial" w:cs="Arial"/>
                <w:b/>
                <w:bCs/>
                <w:color w:val="009933"/>
                <w:sz w:val="20"/>
                <w:szCs w:val="20"/>
                <w:lang w:eastAsia="es-AR"/>
              </w:rPr>
              <w:t>"LOS GRUPOS DE SOCIEDADES"</w:t>
            </w:r>
            <w:r w:rsidRPr="00EB097F">
              <w:rPr>
                <w:rFonts w:ascii="Arial" w:eastAsia="Times New Roman" w:hAnsi="Arial" w:cs="Arial"/>
                <w:color w:val="003399"/>
                <w:sz w:val="17"/>
                <w:szCs w:val="17"/>
                <w:lang w:eastAsia="es-AR"/>
              </w:rPr>
              <w:br/>
              <w:t>Mariano Gagliardo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 Civil y Comercial</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42"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Las nuevas fronteras de la moderna concentración societaria, más aun de acuerdo a las tendencias que rigen en los países altamente desarrollados y la integración económica que se acentúa en las naciones de este continente, exigen la atención sobre el título de estas reflexiones.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que el amplio panorama de los grupos de sociedades excede, en todos sus matices, los cauces del Derecho Mercantil en virtud de los aspectos políticos, económicos y sociológicos sobre los que se proyecta. De allí pues que toda la materia esté en plena evolución siendo la inventiva de los sujetos agrupados inimaginable y todo inventario sobre el particular</w:t>
            </w:r>
            <w:r w:rsidRPr="00EB097F">
              <w:rPr>
                <w:rFonts w:ascii="Arial" w:eastAsia="Times New Roman" w:hAnsi="Arial" w:cs="Arial"/>
                <w:color w:val="003399"/>
                <w:sz w:val="17"/>
                <w:szCs w:val="17"/>
                <w:lang w:eastAsia="es-AR"/>
              </w:rPr>
              <w:br/>
              <w:t>resulte obligadamente provisional.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 propósito de ello, las nociones de grupos de sociedades, concentración societaria (o empresaria) y control societario, a raíz de su diversa aplicación ?a veces impropia? o bien en razón de las distintas regulaciones legales, agudizan los estudios y profundizaciones respectivas. En tal sentido, la designación 'conjunto económico' ha sido utilizada para aludir al grupo de sociedades; es decir, la situación de control </w:t>
            </w:r>
            <w:r w:rsidRPr="00EB097F">
              <w:rPr>
                <w:rFonts w:ascii="Arial" w:eastAsia="Times New Roman" w:hAnsi="Arial" w:cs="Arial"/>
                <w:color w:val="003399"/>
                <w:sz w:val="17"/>
                <w:szCs w:val="17"/>
                <w:lang w:eastAsia="es-AR"/>
              </w:rPr>
              <w:lastRenderedPageBreak/>
              <w:t>ejercida por y a través de sociedades. En alguna oportunidad, se adoptó la designación conjunto económico como sinónimo de grupo de sociedades o grupo económico. (El Derecho 84-263; idem 83-590; ibídem 107-605).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punto de partida, debe recordarse que la concentración de sociedades, en sus diversas modalidades, responde a las nuevas dimensiones y complejidad que suscitan los hechos económicos en el mundo contemporáneo. La concentración de empresas, a su turno, es un fenómeno económico que puede alcanzarse a través de la concentración societaria, aunque también podría ocurrir que la concentración societaria no tuviese como fin la concentración de empresas.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Desde un punto de vista doctrinario ?lo que puede también encontrar apoyatura legislativa? pueden sistematizarse los métodos de concentración societaria de la siguiente manera: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Métodos que alteran las estructuras de las sociedades si bien no se incide en la faz interna del sujeto de derecho, concluyéndose en una relación de subordinación de una o varias sociedades a otra, corolario de la tenencia de acciones o de un control externo dominante.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Métodos que alteran la estructura funcional interna y externa de una o varias sociedades (fusión, escisión y transformación).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 Métodos contractuales que crean relaciones jurídicas que no afectan la personalidad jurídica y económica de las sociedades, mas generan vínculos que usualmente se establecen en niveles de colaboración, cooperación o coordinación (unión transitoria de empresas, contratos de colaboración empresaria).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Debe asimismo aclararse que no existe criterio unánime respecto a la utilización del concepto de grupo de sociedades y agrupamiento societario, pues el primero significaría la existencia de dos o más sociedades vinculadas por una relación de dependencia y la existencia de una dirección unificada que las rige a todas; es decir, se supone una sociedad dominante y otra o varias controladas o dominadas. El agrupamiento respondería a la idea de conglomerado.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Otra modalidad de sistemación de las nociones que anteceden es aquélla que remarca la concentración de sociedades según: a) Grupo contractual: configurado sobre la base de relaciones contractuales, en virtud de la cual una sociedad domina o controla a otra u otras cosas que quedan sometidas a la dirección de aquélla. De esta manera, se configura un</w:t>
            </w:r>
            <w:r w:rsidRPr="00EB097F">
              <w:rPr>
                <w:rFonts w:ascii="Arial" w:eastAsia="Times New Roman" w:hAnsi="Arial" w:cs="Arial"/>
                <w:color w:val="003399"/>
                <w:sz w:val="17"/>
                <w:szCs w:val="17"/>
                <w:lang w:eastAsia="es-AR"/>
              </w:rPr>
              <w:br/>
              <w:t>control externo de derecho, inaceptable en el régimen argentino y de incuestionable licitud en el derecho societario alemán, brasileño y portugués. En efecto, en estos ordenamientos es posible celebrar un contrato entre la sociedad controlante y una sociedad controlada por el cual se faculta a la controlante a dar instrucciones que deben cumplirse por el órgano de administración de la controlada. La dirección unitaria es, pues, el resultado de un acuerdo de dominación o convención cuyo continente ?contrato de organización? condensa la</w:t>
            </w:r>
            <w:r w:rsidRPr="00EB097F">
              <w:rPr>
                <w:rFonts w:ascii="Arial" w:eastAsia="Times New Roman" w:hAnsi="Arial" w:cs="Arial"/>
                <w:color w:val="003399"/>
                <w:sz w:val="17"/>
                <w:szCs w:val="17"/>
                <w:lang w:eastAsia="es-AR"/>
              </w:rPr>
              <w:br/>
              <w:t>subordinación o dependencia de la sociedad controlada a la entidad dominante; b) Grupo de participación: es aquél en el cual el sustento reside en la participación en partes de interés, cuotas o acciones de una sociedad en otra u otras que le permiten prevalecer en las asambleas de socios. Aquí, en esta sistematización, nos encontramos con el control interno que puede ser de hecho y de derecho. El control interno de derecho se presenta cuando la sociedad participante posee la mayoría absoluta de votos en la sociedad participada; por su parte, el control interno de hecho resulta cuando la sociedad participante tiene la mayoría en la sociedad participada con motivo del ausentismo asambleario; c) Grupo personal: cuando el dominio o control es ejercido por los mismos socios de las sociedades agrupadas o bien cuando la vinculación intersocietaria surge con motivo de la identidad de personas que integran los respectivos órganos de administración. Esta última hipótesis ?administradores comunes? es una cuestión que no sólo se limita a los grupos de sociedades sino que se irradia y expande a todo el ámbito societario.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Claude Champaud, sobre la base de un valioso estudio publicado en distintos medios jurídicos a partir del año 1966(1) relativo a los métodos de agrupación de sociedades, señala que su reconocimiento legal surge de la verificación de dos factores sobresalientes: a) unidad de decisión económica; y b) control patrimonial. En esta línea argumental, destaca que los elementos configurativos de los grupos de sociedades resultan de los siguientes caracteres: existencia de patrimonios jurídicamente distintos de las sociedades agrupadas; dependencia</w:t>
            </w:r>
            <w:r w:rsidRPr="00EB097F">
              <w:rPr>
                <w:rFonts w:ascii="Arial" w:eastAsia="Times New Roman" w:hAnsi="Arial" w:cs="Arial"/>
                <w:color w:val="003399"/>
                <w:sz w:val="17"/>
                <w:szCs w:val="17"/>
                <w:lang w:eastAsia="es-AR"/>
              </w:rPr>
              <w:br/>
              <w:t>jerarquizada de las sociedades agrupadas y carácter financiero del vínculo que une a las sociedades.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aquellos ordenamientos comparados (caso del sistema brasileño, alemán y portugués) en los que se contemplan los grupos de sociedades de derecho, la clasificación distintiva suele formularse entre: a) Grupos de subordinación que presentan como rasgo distintivo la presencia de una dirección unificada ejercida por una o varias sociedades; y b) Grupos de</w:t>
            </w:r>
            <w:r w:rsidRPr="00EB097F">
              <w:rPr>
                <w:rFonts w:ascii="Arial" w:eastAsia="Times New Roman" w:hAnsi="Arial" w:cs="Arial"/>
                <w:color w:val="003399"/>
                <w:sz w:val="17"/>
                <w:szCs w:val="17"/>
                <w:lang w:eastAsia="es-AR"/>
              </w:rPr>
              <w:br/>
              <w:t xml:space="preserve">coordinación en los que cada sociedad no pierde su individualidad y mantiene su autonomía decisoria, sin </w:t>
            </w:r>
            <w:r w:rsidRPr="00EB097F">
              <w:rPr>
                <w:rFonts w:ascii="Arial" w:eastAsia="Times New Roman" w:hAnsi="Arial" w:cs="Arial"/>
                <w:color w:val="003399"/>
                <w:sz w:val="17"/>
                <w:szCs w:val="17"/>
                <w:lang w:eastAsia="es-AR"/>
              </w:rPr>
              <w:lastRenderedPageBreak/>
              <w:t>perjuicio del emprendimiento empresarial común que realizan.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Desde un punto de vista conceptual, el grupo de sociedades configura un conjunto de sociedades jurídicamente independientes reunidas bajo el ejercicio de una dirección unitaria.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breve enfoque citado lo implementaremos con referencia a los regímenes alemán y brasileño, cuya experiencia en la materia es útil considerar.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La legislación alemana de sociedades, lo que se destaca de un modo muy sucinto y en lo pertinente, contempla (libro tercero, primera parte, sección primera) el contrato de dominación (art. 291, ap. 1) entre empresas que son aquéllos mediante los cuales una sociedad anónima somete la dirección de su sociedad a otra empresa. Se aclara que si aquellas empresas que no dependen entre sí se someten por contrato a una dirección única, sin que por este hecho una de ellas llegue a dependerde la otra empresa parte del contrato, este último no se considerará</w:t>
            </w:r>
            <w:r w:rsidRPr="00EB097F">
              <w:rPr>
                <w:rFonts w:ascii="Arial" w:eastAsia="Times New Roman" w:hAnsi="Arial" w:cs="Arial"/>
                <w:color w:val="003399"/>
                <w:sz w:val="17"/>
                <w:szCs w:val="17"/>
                <w:lang w:eastAsia="es-AR"/>
              </w:rPr>
              <w:br/>
              <w:t>contrato de dominación.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cuanto al poder de dirección (art. 308, ap. 1) se destaca que si existe un contrato de dominación, la empresa dominante tendrá derecho a impartir instrucciones a la dirección de la sociedad en lo relativo a la administración de la misma; si el contrato no estableciera lo contrario, se podrán también impartir instrucciones perjudiciales para la sociedad, si sirven a los intereses de la sociedad dominante o de las sociedades unidas en grupo con ella y con la sociedad.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el contrario, la inexistencia de contrato de dominación significa un límite al ejercicio de la influencia dominante, pues la sociedad en esta situación (art. 311, ap. 1) no podrá influir para inducir a una sociedad dependiente a que concluya un negocio jurídico o adopte medidas en perjuicio suyo u omita otras, salvo que se compensen los perjuicios.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 La ley de sociedades anónimas del Brasil , promulgada el 15 de diciembre de 1976, si bien regula los grupos de derecho de sociedades , tiene algunos rasgos que la distancian del modelo antes citado.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punto de partida, es factible la existencia de un agrupamiento societario sin que se configure la relación de dependencia.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obstante, cuando el legislador alude al grupo señala que una sociedad controladora y sus controladas pueden constituir grupo de sociedades mediante convención por la cual se obligan a combinar recursos o esfuerzos para la realización de los respectivos objetivos, o a participar de las actividades o empresas comunes.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Tal como surge de la noción legal citada, no existe ninguna clase de alusión a la dirección unitaria, la que constituye un rasgo estructural y determinante del grupo societario.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Corolario de lo expuesto es que el régimen referido, al no aludirse a la dirección unitaria, se prescinde de que este concepto y el control aparecen como indispensables en las diversas fases de la formación del grupo de sociedades y por ello deben ser clarificados y atendidos.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suma, en las legislaciones comentadas se admiten los grupos de derecho societarios basados ambos en una relación contractual y mientras el modelo alemán considera el contrato de dominación sobre la base de un control externo, el sistema brasileño, a su turno, requiere como antecedente el control interno (o participacional).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régimen societario argentino no existe una reglamentación minuciosa de las múltiples formas de concentración societaria, lo que no significa que en ciertas hipótesis las soluciones resulten a veces insatisfactorias. En efecto, el ordenamiento argentino no trata los 'grupos de derecho', contrariamente a lo que acontece en los sistemas ponderados. Se atribuye, pues, localmente plena autonomía jurídica a las sociedades que eventualmente conforman un grupo con los alcances de los artículos 2, 31, 33 y 54 de la Ley 19.550.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obstante lo expuesto, puede darse la hipótesis de control cuando la sociedad controlada está agrupada con otra u otras y a la recíproca la vigencia del grupo requiere la alternativa de controlar a las agrupadas. Mas nada impide que pueda existir control sin la existencia del agrupamiento de la sociedad controlada con ninguna entidad cuando los accionistas mayoritarios desempeñan de un modo autónomo el ejercicio de la dirección de los negocios societarios; esto último, dicho de otro modo, se presenta cuando media control sin existir un grupo societario o si una o varias personas físicas controlan una sociedad.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De manera que es posible que varias sociedades individualmente consideradas resulten integrantes de un </w:t>
            </w:r>
            <w:r w:rsidRPr="00EB097F">
              <w:rPr>
                <w:rFonts w:ascii="Arial" w:eastAsia="Times New Roman" w:hAnsi="Arial" w:cs="Arial"/>
                <w:color w:val="003399"/>
                <w:sz w:val="17"/>
                <w:szCs w:val="17"/>
                <w:lang w:eastAsia="es-AR"/>
              </w:rPr>
              <w:lastRenderedPageBreak/>
              <w:t>grupo, ya sea que actúen acorde al interés social de cada una de ellas o bien que desempeñen su actividad en el interés grupal.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Podría, asimismo, configurarse un grupo de sociedades en el que no existiera técnicamente un control societario, mas sí una política común y sin que el accionar de las entidades constituyera una grupo de hecho.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sistema argentino admite diversos tipos de control : a) interno de derecho (requiere mayoría de las acciones con derecho a voto en primera o bien en segunda convocatoria asamblearia y la mayoría absoluta de votos presentes que puedan emitirse en la respectiva decisión); y b) externo de hecho (en función de los especiales vínculos existentes entre sociedades).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Este sintético panorama cuyos primeros destinatarios -mas no los únicos- son los alumnos de esta prestigiosa Universidad, constituye una aproximación a un tema de un futuro inmediato en el que el Mercosur tendrá su protagonismo.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tarea de elaborar y continuar los aportes sobre el particular es un desafío de la hora que a todos nos alcanza.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(1) Champaud, Claude, 'Los métodos de agrupación de sociedades', R.D.C.O. 1969-117.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8" w:name="18"/>
            <w:bookmarkEnd w:id="18"/>
            <w:r w:rsidRPr="00EB097F">
              <w:rPr>
                <w:rFonts w:ascii="Arial" w:eastAsia="Times New Roman" w:hAnsi="Arial" w:cs="Arial"/>
                <w:b/>
                <w:bCs/>
                <w:color w:val="009933"/>
                <w:sz w:val="20"/>
                <w:szCs w:val="20"/>
                <w:lang w:eastAsia="es-AR"/>
              </w:rPr>
              <w:t>"POPPER Y KUHN: UN ASEDIO A LAS CIENCIAS HUMANAS Y SOCIALES"</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Fernando Tellechea Yampey</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 xml:space="preserve">Tema: </w:t>
            </w:r>
            <w:r w:rsidRPr="00EB097F">
              <w:rPr>
                <w:rFonts w:ascii="Arial" w:eastAsia="Times New Roman" w:hAnsi="Arial" w:cs="Arial"/>
                <w:color w:val="003399"/>
                <w:sz w:val="17"/>
                <w:szCs w:val="17"/>
                <w:lang w:eastAsia="es-AR"/>
              </w:rPr>
              <w:t>Hermenéutica Juridica, Epistemologia y Logica Juridica</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43"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No cabe duda de que nos encontramos ante dos de los más grandes filósofos de la ciencia de nuestro siglo.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Karl R. Popper es quien abre nuevos caminos a la epistemología adoptando una postura decisivamente crítica frente a los planteamientos del 'Circulo de Viena'. Popper se opone al criterio demarcacionista de significado del sentido con el cual los miembros del 'círculo' habían creado el clima más densamente antimetafísico que recuerden los anales de la historia de la filosofía. Esta tesis se halla resumida en el célebre 'Tractatus lógico philosophicus' de Wittgenstein y reza así: 'Los enunciados de la metafísica son pseudoproposiciones, supuestos enunciados carentes de sentido y, por tanto absurdos. Toda proposición, para ser significativa debe ser reducible lógicamente a enunciados singulares de observación. Los enunciados de la metafísica no son reducibles en este sentido y constituyen en consecuencia un palabreo sin sentido'.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1934 publica Popper una nota en que somete a crítica el planteamiento del problema de la inducción y del significado, tal como propone 'El Círculo de Viena'. En síntesis para Popper la inducción es un proceso lógicamente injustificable, psicológicamente imposible y epistemológicamente irrelevante: el descubrimiento científico no procede por inducción, sino por intentos de falsación de teorías mediante un mecanismo de ensayos y errores. Lo importante de la ciencia no es verificar teorías sino lanzar hipótesis que puedan ser refutadas por los hechos. El criterio neopositivista de verificación como criterio de significado es una forma errónea de resolver un problema mal planteado. El verdadero problema no es el del significado, sino el de la demarcación de los enunciados de la ciencia y los de la pseudociencia o metafísica; tanto unos como los otros pueden ser significativos sin que por ello sean científicos. De este modo surge el principio de la falsación para distinguir lo que es ciencia de lo que no es. Popper ubica en </w:t>
            </w:r>
            <w:r w:rsidRPr="00EB097F">
              <w:rPr>
                <w:rFonts w:ascii="Arial" w:eastAsia="Times New Roman" w:hAnsi="Arial" w:cs="Arial"/>
                <w:color w:val="003399"/>
                <w:sz w:val="17"/>
                <w:szCs w:val="17"/>
                <w:lang w:eastAsia="es-AR"/>
              </w:rPr>
              <w:lastRenderedPageBreak/>
              <w:t>pie de igualdad a la astrología, al psicoanálisis y a la doctrina marxista como pseudociencias y los confronta con la física cuyos enunciados por el contrario son falsables.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método de la ciencia radica, según Popper, en la elección de problemas (el punto de partida es siempre el problema) y en la crítica a los ensayos de las soluciones. La crítica consiste en intentos de refutación. Si el ensayo de solución es refutable por la crítica, se busca otro. El método de la ciencia es una tentativa de solución, un ensayo sometido a control crítico, una prolongación crítica del método de ensayo y error. El método de ensayo y error es un método de eliminación. De modo que por lo que respecta al progreso (incremento) del conocimiento científico Popper es más evolucionista que revolucionario. Es significativo que su libro 'Conocimiento objetivo' lleve el subtítulo 'Un enfoque evolucionista'. En su interpretación del desarrollo de la ciencia Popper sigue una línea neodarwiniana de selección natural como modelo.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Este método de conjeturas y refutaciones facilita el control del incremento del conocimiento y nos acerca a la verdad.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concepción popperiana de la ciencia y del desarrollo científico está hoy sometida a grandes objeciones. Si tomamos el problema de la demarcación para distinguir ciencia de no ciencia, se cae en una tautología, pues 'los enunciados empíricos' son aquellos que son 'empíricamente refutables' por la experiencia. Aquí cabría preguntarse, ¿qué se entiende por empírico y por experiencia?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otra parte, el criterio de falsabilidad quedaría fuera de juego, pues la 'verosimilitud creciente' que se buscaría y a partir de la cual también se definiría el progreso científico, está concebida como</w:t>
            </w:r>
            <w:r w:rsidRPr="00EB097F">
              <w:rPr>
                <w:rFonts w:ascii="Arial" w:eastAsia="Times New Roman" w:hAnsi="Arial" w:cs="Arial"/>
                <w:color w:val="003399"/>
                <w:sz w:val="17"/>
                <w:szCs w:val="17"/>
                <w:lang w:eastAsia="es-AR"/>
              </w:rPr>
              <w:br/>
              <w:t>aproximación a la cosa-límite. Popper admite la evolución del conocimiento científico, pero no explica cómo es posible el aumento del conocimiento.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Thomas Kuhn en su obra 'La estructura de las revoluciones científicas' introduce la idea de 'paradigma', una unidad conceptual más amplia que la de Popper con sus conjeturas y refutaciones. Kuhn pone en crisis el concepto popperiano de racionalidad científica. Ante este reto Popper introduce la concepción del mundo 3; este mundo 3 es el mundo de los contenidos de conciencia, especialmente de los pensamientos científicos, poéticos, obras de arte, etc. Entre los inquilinos del 'tertius orbis' popperiano se encuentran los problemas, las argumentaciones críticas y los sistemas teóricos, así como contenido de revistas, libros, etc.</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mundo 2 es el mundo de los 'estados de conciencia' o estados mentales; el mundo 1 es el mundo de los objetos físicos. Esta nueva justificación de Popper a la objetividad y racionalidad de la ciencia apela a una especie de 'metafísica compleja' no exenta de grandes problemas al hablar de la autonomía de las entidades del tercer mundo y proponer una epistemología sin sujeto.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Popper parece postular aquí un mundo platónico de la verdad para poder entender el aumento del conocimiento como aproximación a ese mundo. La ciencia aparece así como algo ya dado y el sujeto investigador se halla ante ella para descubrirla mediante el ensayo y el error. Recordemos que también para Platón el método dialéctico (similar al método de ensayo y error) ayuda al hombre a ese ascenso penoso desde la oscuridad de la caverna hacia la contemplación de las entidades del mundo eidético.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 Kuhn interpreta el desarrollo de la ciencia de modo diferente. La ciencia se ha de entender como un proceso histórico realizado por comunidades de investigadores.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Kuhn propone la sustitución de la 'metodología científica' por la 'historia de la ciencia'. Lo racional, según Kuhn, no se identifica con lo lógico; el rechazo de una conjetura no es un problema de mera lógica.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estudio de Kuhn trata de explicar lo que él llama 'revoluciones científicas' o cambios de paradigmas. Los paradigmas son realizaciones científicas universalmente reconocidas que, durante cierto tiempo, proporcionan modelos de problemas y soluciones a una comunidad científica.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Algunos ejemplos aceptados de la práctica científica son ejemplos que incluyen al mismo tiempo leyes, teorías, criterios y métodos, vagas intuiciones y también prejuicios. El concepto de paradigma, con sus muchos significados, podría corresponder al concepto wittgenteiniano de</w:t>
            </w:r>
            <w:r w:rsidRPr="00EB097F">
              <w:rPr>
                <w:rFonts w:ascii="Arial" w:eastAsia="Times New Roman" w:hAnsi="Arial" w:cs="Arial"/>
                <w:color w:val="003399"/>
                <w:sz w:val="17"/>
                <w:szCs w:val="17"/>
                <w:lang w:eastAsia="es-AR"/>
              </w:rPr>
              <w:br/>
              <w:t>'juego lingüístico' como 'forma de vida'. Un ejemplo de paradigma puede ser la física newtoniana, la astronomía ptolomeica, la copernicana, etc. Como la racionalidad sólo se explica dentro de cada paradigma, los paradigmas son inconmensurables.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Ciencia normal es para Kuhn investigación basada en una o más realizaciones científicas, realizaciones que una comunidad científica reconoce como fundamento para una práctica posterior. Un perfecto estado de ciencia normal implicaría cohesión y consenso de la comunidad científica detrás de un único paradigma. Mientras se dedica a la 'ciencia normal', el investigador es un solucionador de enigmas, no alguien que ponga a prueba su paradigma. El científico actúa como el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jugador de ajedrez que siempre ensaya varios movimientos alternativos para buscar soluciones. Lo último que hace un científico es poner en duda su paradigma; ante la presencia de una anomalía, primero duda de su eficacia en el manejo de su paradigma. La prueba de un paradigma sólo tiene lugar cuando el fracaso persistente para obtener la solución de un problema haya producido una 'crisis'. E incluso entonces se produce después de que el sentimiento de la crisis haya producido un candidato alternativo o paradigma. La revolución o cambio de la 'matriz disciplinar' es un proceso de selección que garantiza la vida de la ciencia. Los adeptos se van ganando por conversión, propaganda y proselitismo. Esta posición le ha valido a Kuhn para que lo acusaran de 'irracionalista'. Lo racional sería lo paradigmático y se refiere a la 'ciencia normal'.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Kuhn fue, sin duda, más allá de Popper. Cambió aquellas unidades básicas por las cuales procede la ciencia. En vez de teorías (conjeturas) seguidas por refutaciones Kuhn introduce, como dijimos, la idea de 'paradigma'. El paradigma que introduce Kuhn para explicar la ciencia y su desarrollo y da origen a un modelo diferente, es una unidad conceptual más amplia que la conjetura/refutación. Aceptar la idea de paradigma, como explica Skolinowski, significa 1) Socavar la razón misma del esquema conjetura/refutación como unidad básica para la comprensión de la ciencia; 2) Socavar la idea popperiana de reconstrucción racional del desarrollo de la ciencia, 3) Socavar la idea misma de racionalidad popperiana, pues, si no hay refutación de la racionalidad de la ciencia, carecemos de base para llevar a cabo el proceso intersubjetivo de contrastación; 4) Reemplazar los patrones de racionalidad existentes por patrones nuevos: el consensus de la comunidad científica para aceptar o no un paradigma dado.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descripción que Kuhn ofrece del desarrollo de la ciencia es, según Popper, históricamente errada en cuanto la ciencia no confirma la teoría del monopolio de un único paradigma. Metodológicamente, además, argumenta Popper, el científico normal de Kuhn es un científico mal educado, acrítico y dogmático, no acostumbrado a poner en discusión el dogma dominante. Además, el paso de un paradigma a otro no es un tránsito irracional, no dominable por la lógica; la comunidad científica de Kuhn se configura como 'una sociedad, esencialmente cerrada, sacudida intermitentemente por convulsiones nerviosas colectivas seguidas de vuelta al equilibrio mental'; la ciencia de Kuhn, dice Watkins, se asemeja a la teología. El paso no racional de un paradigma a otro, afirma Popper, es sólo un mito. En sustancia, para Popper, una cosa son las revoluciones ideológicas y otras las revoluciones científicas. La ciencia, dice Popper, está en revolución permanente y sin embargo estas revoluciones son racionales porque en principio, es racionalmente</w:t>
            </w:r>
            <w:r w:rsidRPr="00EB097F">
              <w:rPr>
                <w:rFonts w:ascii="Arial" w:eastAsia="Times New Roman" w:hAnsi="Arial" w:cs="Arial"/>
                <w:color w:val="003399"/>
                <w:sz w:val="17"/>
                <w:szCs w:val="17"/>
                <w:lang w:eastAsia="es-AR"/>
              </w:rPr>
              <w:br/>
              <w:t>decidible si una teoría es mejor que otra.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 para Popper lo que caracteriza al científico es la actitud crítica, para Kuhn es la propensión a quedarse como en su casa cuidando su paradigma. El cambio de un paradigma trae consigo un cambio en la orientación profesional y una nueva visión del mundo.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Popper y Kuhn frente a las Ciencias Humanas y Sociales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orden a establecer una línea de deslinde entre lo científico y lo metafísico, se impondría, según Popper, la exigencia de esclarecer conceptualmente la distinción entre 'explicación e interpretación'. Lo que por nuestra parte intentaremos preguntar es cuáles son los criterios epistemológicos que permiten distinguir entre explicaciones científico -informativas e interpretaciones metafísicas científicamente no informativas. A diferencia de las explicaciones, las interpretaciones son siempre confirmables; las interpretaciones son de naturaleza ideológica; las explicaciones en cambio se componen de enunciados de un alto contenido informativo. Y aquí recurrimos de nuevo al principio popperiano de falsabilidad, según el cual una teoría es científica si es falsable o refutable. Toda buena teoría científica es una prohibición, en el sentido que niega el acontecer de ciertos hechos, que en caso de que acontecieran refutarían la teoría misma. En otras palabras, si una teoría no puede ser refutada por ningún suceso concebible, es solo una interpretación.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diferencia de las explicaciones, las interpretaciones, dijimos, son siempre corroboradas, todo evento las confirma, no son falsables en ningún caso. Por consiguiente, podemos decir que una interpretación es una generalización o conjunto de generalizaciones que no puede venir refutada, razón por la cual sus confirmaciones son solo aparentes y no poseen valor alguno.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 investigador explica un hecho cuando indaga sus causas, que como sabemos tienen poder explicativo en virtud de su relación con generalizaciones o leyes universalmente aceptadas como válidas en tanto ya sometidas a contrastación y probadas.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Por otra parte, se puede por ejemplo interpretar la historia como lucha feroz de las razas por el logro de la supremacía o como una sucesión de 'lucha de clases' o como una sucesión de hechos en que se despliega el absoluto. Sin duda todas estas son interpretaciones, más o menos sugestivas e interesantes y parejamente convincentes; pero lo cierto, dice Popper, es que son poco menos que inatacables e irrefragables.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Por ello no son científicas estas teorías, pues no son falsables. Estas interpretaciones son tan convincentes, abarcantes y comprensivas, así el marxismo o las teorías freudianas, que la adhesión a ellas ha tenido características de conversión religiosa. Popper llegó al convencimiento de que tales teorías como la 'marxista de la historia' 'el psicoanálisis de Freud' atesoran en tanto interpretación un depósito de supuestas verificaciones sugerentes que han hecho pensar a sus adeptos en un asombroso poder explicativo, sin caer en la cuenta de que semejante poder las determina como pseudociencia.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lo que respecta a la crítica popperiana del psicoanálisis como pseudociencia, la considero débil y poco válida. Popper no parte de una hermenéutica del psicoanálisis, como propone Ricoeur, sino que más bien se refiere a la actitud antifalsadora de los psicoanalistas, que dicho sea de paso, en el caso de Freud o Alder era por entonces razonablemente anti-falsadora. El mismo Popper reconoce que el dogmatismo se justifica en una ciencia naciente, pues, de otro modo, sustituida por otra estructura teórica incesantemente, no tendría tiempo de desarrollarse.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Y hasta me aventuro en sostener que consecuentemente Popper somete el psicoanálisis a una interpretación igualmente no falsable, ya que falsarla sería pasarla a las filas de la pseudociencia; curiosa paradoja, verdad?</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Además, podemos argumentar contra los falsacionistas que impugnan el psicoanálisis por el carácter incontrastable de sus hipótesis básicas, que también sucede lo mismo con ciencias como la física.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Recordemos la conocida afirmación de Heisenberg 'en su esencia, la partícula elemental en física moderna no es más que un símbolo'; es ésta, sin duda, una proposición eminentemente metafísica.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Constatamos, asimismo, algunas serias contradicciones en la teoría popperiana de la ciencia; por una parte (sobre todo en 'Conjeturas y Refutaciones') Popper repudia el dogmatismo partidista que caracteriza a las distintas vertientes del marxismo o del psicoanálisis (el psicoanalista no sería más que un fanático obnubilado, acostumbrado a una dieta intelectual unilateral que no le permite ver otra verdad que la que le dicta su disciplina, un celoso cuidador de su secta).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Sin embargo en su célebre polémica con Theodor Adorno, concretamente en su ponencia sobre 'La lógica de las ciencias sociales' nos sorprende Popper con una observación antípoda; sostiene ahora que 'es de todo punto de vista erróneo conjeturar que el científico de la naturaleza es más objetivo que el científico social. El científico de la naturaleza es tan partidista como el resto de los hombres, y por regla general es, en extremo unilateral y partidista en lo que concierne a sus propias ideas.</w:t>
            </w:r>
            <w:r w:rsidRPr="00EB097F">
              <w:rPr>
                <w:rFonts w:ascii="Arial" w:eastAsia="Times New Roman" w:hAnsi="Arial" w:cs="Arial"/>
                <w:color w:val="003399"/>
                <w:sz w:val="17"/>
                <w:szCs w:val="17"/>
                <w:lang w:eastAsia="es-AR"/>
              </w:rPr>
              <w:br/>
              <w:t>Algunos de los más destacados físicos contemporáneos han fundado incluso escuelas que oponen fuerte resistencia a toda idea nueva'. Recordemos que para Popper en principio el científico debe ser eminentemente crítico; el desarrollo de la ciencia es dinamizado por la crítica y la ciencia no descubre tautologías, se renueva permanentemente merced al mecanismo de los ensayos y errores. Pero ocurre que ahora, en el texto citado, vemos cómo Popper se percata de que también los científicos de la naturaleza se resisten a la falsación, aunque no lo diga con estas palabras. Se reafirma no obstante el furor falsacionista de Popper cuando en la 'duodécima tesis' de la 'Lógica de las Ciencias Sociales' dice: 'Lo que puede ser calificado de objetividad científica radica única y exclusivamente en la tradición crítica, esa tradición que a pesar de todas las resistencias permite a menudo criticar un dogma dominante. Expresado de otra manera, la objetividad de la ciencia no es</w:t>
            </w:r>
            <w:r w:rsidRPr="00EB097F">
              <w:rPr>
                <w:rFonts w:ascii="Arial" w:eastAsia="Times New Roman" w:hAnsi="Arial" w:cs="Arial"/>
                <w:color w:val="003399"/>
                <w:sz w:val="17"/>
                <w:szCs w:val="17"/>
                <w:lang w:eastAsia="es-AR"/>
              </w:rPr>
              <w:br/>
              <w:t>asunto social de su crítica recíproca, de la amistosa enemistosa división de trabajo de los científicos, etc.'</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 todo, creo que la epistemología popperiana es de suma importancia para las ciencias del hombre; el principio de falsación ha ayudado, sin duda, a disolver y desmitificar numerosas teorías holísticas, a destotalizar muchas teorías que gozaban en la paz de una supuesta 'completud'; por otra parte su visión socrática de la ciencia es plausible no sólo para las ciencias naturales, sino con mayor razón, para las ciencias humanas; según esta interpretación, todo afán de dar respuestas definitivas en el terreno del saber es una tarea quimérica, pues el hombre de ciencia se encuentra en una tensión permanente entre el conocimiento y la ignorancia.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Tanto en Popper como Kuhn (recordemos que Kuhn considera que la sociología y la psicología son protociencias, vale decir, que no alcanzan un status científico) constatamos un error común; juzgar acerca de la cientificidad o no de las ciencias humanas desde la atalaya de las ciencias naturales, vale decir, en función de un modelo naturalista, lo cual me parece falaz.</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Conviene desvanecer a toda costa la confusión que produce un vicio de terminología cada vez más difundido, el cual consiste en reservar el nombre de ciencia para las investigaciones puramente formales y para el conocimiento de la realidad natural (la falta de un concepto claro y bien definido de lo que debe entenderse por ciencia es síntoma de una grave crisis). A ello se debe que, para atribuir o rehusar rango científico a un conocimiento, se aplique el criterio de la exactitud cuantitativa.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Las ciencias cuyos objetos no fueren cuantificados o cuantificables, serían por ello mismo otra cosa diferente, o serían ciencias menores, menos rigurosas, ilegítimas, etc., más expuestas a la arbitrariedad y la subjetividad. Como afirma Heidegger 'El conocimiento matemático no es más riguroso que el histórico-filosófico; posee tan sólo el carácter de exactitud'. Pero es incorrecto -agrega Nicol- reservar la exactitud para las ciencias popularmente llamadas exactas, es decir las lógico-matemáticas. La exactitud, como ideal del conocimiento, persiguen todas las ciencias; también todas son rigurosas, pues el rigor cualifica los procedimientos de investigación.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El hecho de que las disciplinas llamadas humanas, sociales, históricas, etc. no produzcan utilidad apreciable de inmediato en términos cuantitativos y pragmáticos, tal vez sea asimismo la razón profunda de que muchos la rehusen hoy la categoría de ciencia. Las aplicaciones prácticas del conocimiento tienen que derivar necesariamente de una previa confirmación empírica, pero el valor teórico de esta prueba se confunde cada vez más con el provecho que sus aplicaciones puedan reportar.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escisión de lo práctico y lo teórico compromete sin duda el concepto de ciencia.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Cabría incluso afirmar con Eduardo Nicol que la crisis de la ciencia es en este sentido una crisis de principios.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Cuando Kuhn señala que las ciencias humanas son preparadigmáticas nos da a entender que como tales los paradigmas sólo se inscriben en el horizonte de las ciencias naturales.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Lo que ocurre es que para Kuhn la ciencia o es ciencia normal o no es ciencia. En las ciencias humanas no existe lo que Kuhn domina 'ciencia normal' ya que en ellas simultanean con el dominio teórico, múltiples paradigmas que se cambian como las ropas, según la moda. Pero Popper ha demostrado contra Kuhn que esta concepción de la ciencia no resiste una confrontación con la historia de la ciencia; en la ciencia, dice Popper, podemos afirmar consecuentemente que si la psicología se parece a la torre de Babel por su pluralidad paradigmar no es más que por la complejidad de su 'objeto fundante' que es el hombre en una de sus dimensiones. Con todo, considero pertinente señalar que el hecho de trabajar con un paradigma no debe implicar una actitud dogmática en el científico social.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Como tampoco el hecho de trabajar con varios paradigmas debería suponer un eclecticismo simplista que no reconozca los nexos matriciales ni sepa distinguir las diferencias que hacen a la 'relativa autonomía epistemológica de los paradigmas'. Un paradigma determina desde cierto ámbito la comprensión del mundo y en virtud de él se formulan hipótesis para descubrir, ordenar y explicar los hechos. Hechos, hipótesis y paradigmas son los elementos básicos de la ciencia. Estas aclaraciones nos deben ayudar a no confundir los paradigmas con elementos bélicos de combate contra supuestos enemigos. El trabajo interdisciplinario flexibiliza los paradigmas, hecho que favorece el hallazgo de los nexos que existen entre ellos.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xml:space="preserve">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tbl>
      <w:tblPr>
        <w:tblW w:w="8025" w:type="dxa"/>
        <w:tblCellSpacing w:w="0" w:type="dxa"/>
        <w:tblCellMar>
          <w:left w:w="0" w:type="dxa"/>
          <w:right w:w="0" w:type="dxa"/>
        </w:tblCellMar>
        <w:tblLook w:val="04A0" w:firstRow="1" w:lastRow="0" w:firstColumn="1" w:lastColumn="0" w:noHBand="0" w:noVBand="1"/>
      </w:tblPr>
      <w:tblGrid>
        <w:gridCol w:w="8025"/>
      </w:tblGrid>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19" w:name="19"/>
            <w:bookmarkEnd w:id="19"/>
            <w:r w:rsidRPr="00EB097F">
              <w:rPr>
                <w:rFonts w:ascii="Arial" w:eastAsia="Times New Roman" w:hAnsi="Arial" w:cs="Arial"/>
                <w:b/>
                <w:bCs/>
                <w:color w:val="009933"/>
                <w:sz w:val="20"/>
                <w:szCs w:val="20"/>
                <w:lang w:eastAsia="es-AR"/>
              </w:rPr>
              <w:t>"REGIMEN PENITENCIARIO Y POLITICA CRIMINAL"</w:t>
            </w:r>
            <w:r w:rsidRPr="00EB097F">
              <w:rPr>
                <w:rFonts w:ascii="Arial" w:eastAsia="Times New Roman" w:hAnsi="Arial" w:cs="Arial"/>
                <w:b/>
                <w:bCs/>
                <w:color w:val="003399"/>
                <w:sz w:val="17"/>
                <w:szCs w:val="17"/>
                <w:lang w:eastAsia="es-AR"/>
              </w:rPr>
              <w:br/>
            </w:r>
            <w:r w:rsidRPr="00EB097F">
              <w:rPr>
                <w:rFonts w:ascii="Arial" w:eastAsia="Times New Roman" w:hAnsi="Arial" w:cs="Arial"/>
                <w:color w:val="003399"/>
                <w:sz w:val="17"/>
                <w:szCs w:val="17"/>
                <w:lang w:eastAsia="es-AR"/>
              </w:rPr>
              <w:t>Alfonso Zambrano Pasquel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Criminología</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44"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Introducción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Aunque en el marco teórico doctrinario de estos días es de generalizado conocimiento lo que debe ser y a lo que debe aspirar un régimen penitenciario moderno que responda a las proclamas de un Estado de Derecho, y que se tiene una concepción claramente diferenciada de lo que es la política criminal, de lo que es una política penal eminentemente represiva, esto es negativa de una política penal desinstitucionalizadora, la mayoría de los sistemas penitenciarios de la región acusan un verdadero </w:t>
            </w:r>
            <w:r w:rsidRPr="00EB097F">
              <w:rPr>
                <w:rFonts w:ascii="Arial" w:eastAsia="Times New Roman" w:hAnsi="Arial" w:cs="Arial"/>
                <w:color w:val="003399"/>
                <w:sz w:val="17"/>
                <w:szCs w:val="17"/>
                <w:lang w:eastAsia="es-AR"/>
              </w:rPr>
              <w:lastRenderedPageBreak/>
              <w:t>proceso de involución y no de evolución, y hay una tendencia o propuesta de derecho penal máximo y de recorte de garantías constitucionales, principalmente cuando se trata de combatir los delitos vinculados al terrorismo y al tráfico de drogas ilegales o prohibidas.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 buen sector del régimen penitenciario latinoamericano es una instancia más del ejecutivo y hasta se han llegado a crear regímenes de excepción como en los casos colombiano y peruano en que se han delegado funciones judiciales y penitenciarias a los mandos militares, lo que deviene en una abierta contradicción con cualquier razonable criterio de democracia y de respeto al estado de derecho y a un derecho penal liberal de tipo garantista.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sistema penal actual empezó por expropiarle el derecho de la víctima y terminó por olvidarse de ella, que de pronto podría sentirse mejor atendida con otro tipo de intervenciones que no fuesen la eminentemente penal y penitenciaria. En la orilla opuesta encontramos al usufructuario a quien se le expropia el derecho a la libertad para tratar de enseñarle en prisión a vivir en libertad, esto es que se lo priva de la libertad para tratar de enseñarle a vivir en ella.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siempre se respeta el principio de disponibilidad, esto es, el derecho de la víctima a optar por un tipo de reclamación o por otra para no caer en la trampa de la doble victimización, entendiendo por tal la que es consecuencia del delito y la que depende del trato que le da el sistema penal que degenera en una victimización judicial por la serie de actos atentatorios a la dignidad del damnificado a pretexto de asegurar la prueba material en el proceso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principio de oportunidad que tiene como presupuesto la relevancia del bien jurídico afectado y que podría ser ejercido por el Ministerio Público mediante la instrucción fiscal, a no dudarlo permitiría hacer efectivo un Régimen Penitenciario también de última ratio y la concreción de un posible proyecto de Política Criminal, pero mientras el clientelismo penitenciario siga siendo reclutado de las clases sociales subalternas, el derecho penal, su puesta en marcha y ejecución no pasarán de ser el ejercicio de la represión legalizada.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Si bien es verdad como admitimos, que no hay fórmulas mágicas, que el derecho penal sigue vendiendo ilusiones y que como ha manifestado en más de una ocasión Raúl Zaffaroni creemos con excesiva ingenuidad que el derecho penal y el sistema penal van a resolver problemas diversos tratando de darle soluciones penales a problemas sociales, cuando estos deben ser resueltos socialmente, no existe posibilidad de decretar un estado de moratoria porque se sigue recurriendo al derecho penal y a la cárcel como la respuesta de primera mano.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Regímenes penitenciarios de excepción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Tan difícil se nos hace asimilar la idea de que un Régimen Penitenciario democrático sería el menos violento, al que menos se recurra, o al que debiera de recurrirse cuando la afectación de los bienes jurídicos, que protege las relaciones sociales concretas entre las personas, fuese de tal magnitud que su intervención fuese necesaria. Pero la relevancia del bien jurídico afectado es poco significativa y el mejor ejemplo lo encontramos en el Régimen Penitenciario bifronte, en el que por ejemplo un sindicado a quien se le imputa homicidios o violaciones sexuales múltiples si es sobreseído recupera su derecho a la libertad de inmediato guardando coherencia con el principio de inocencia que es una garantía constitucional de universal reconocimiento, pero si la imputación fuese por delitos previstos en la Ley de Drogas ha tomado carta de naturalización en la región la propuesta de la Convención de Viena última de no dar paso a la liberación mientras no se confirme dicho auto resolutorio por un tribunal de alzada y previa opinión favorable del Ministerio Público.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Otro tanto ocurre cuando se trata de actos delictivos etiquetados como de terrorismo, en el que el bien jurídico afectado es igualmente difuso esgrimiéndose el manoseado argumento de la seguridad nacional. Como sabemos la construcción teórico-dogmática, teórico-doctrinaria de una categoría jurídica como el delito de terrorismo rebasa el marco ortodoxo de los elementos del delito por su alto contenido político que vuelve al tema polémico, cuando no explosivo.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Se produce el nacimiento de un Régimen Penitenciario de excepción como en el caso de Perú para combatir el terrorismo de 'Sendero luminoso' con cárceles militarizadas en el marco de una severa contradicción histórica, pues por una parte se publicita en 1991 la expedición de un nuevo Código Penal de corte liberal y respetuoso del Estado de Derecho en el que se acepta en buena parte un conjunto de medidas de Derecho Penal mínimo ya previstas en la Parte General del Código Penal brasileño de 1984 y se produce una evidente ruptura con el orden constitucional al disolverse el Congreso Nacional y decapitarse al Sistema Judicial. Esto degeneró en la reconstrucción del mito de un Derecho Penal máximo, llegándose a la condena a perpetuidad, que como sabemos es un paso para la aplicación de la pena de muerte judicial, pues la pena de muerte extrajudicial, la creación de ficticios encuentros con las fuerzas de seguridad, las ejecuciones sumarias y la pena de desaparición son el fantasma permanente </w:t>
            </w:r>
            <w:r w:rsidRPr="00EB097F">
              <w:rPr>
                <w:rFonts w:ascii="Arial" w:eastAsia="Times New Roman" w:hAnsi="Arial" w:cs="Arial"/>
                <w:color w:val="003399"/>
                <w:sz w:val="17"/>
                <w:szCs w:val="17"/>
                <w:lang w:eastAsia="es-AR"/>
              </w:rPr>
              <w:lastRenderedPageBreak/>
              <w:t>con el que cohabitan nuestras raquíticas democracias.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Otro tanto ha ocurrido en Colombia con las sostenidas declaratorias de emergencias y la supervivencia bajo un permanente estado de sitio, la creación de jueces sin rostro, etc., que ha abortado en prácticas abusivas del aparato estatal que ha fracturado el discurso garantizador de los derechos humanos, magnificando la represividad que ha conllevado niveles de violencia estructural insoportables (1).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los países del área andina es más notoria la tendencia a utilizar esa especie de híbrido narco-terrorismo, narco-guerrilla, narco-subversión, lo que ha permitido la fácil vigencia de un derecho penal de autor. A pretexto de la peligrosidad de los rotulados se crean tipos penales abiertos, se hacen peligrosas delegaciones de facultades legislativas al Juez para la aplicación de la Ley o estatuto de excepción, se aplica la analogía in malam partem, se afecta el principio de seguridad jurídica, llegándose a penalizar actos de responsabilidad objetiva, bastando la sola conformación de una asociación criminal para que se formule un reproche de culpabilidad colectivo, excepto para los arrepentidos o delatores que son inclusive premiados, y finalmente se invierte el principio constitucional de inocencia por el de culpabilidad, desplazándose el onus probandi o la carga de la prueba por la sola imputación delictiva.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 Régimen Penitenciario a imitar</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intervención del Régimen Penitenciario debe reivindicar el discurso de la menor lesividad para los derechos del ciudadano que goza de libertad, buscando en alguna medida complementar la satisfacción de necesidades humanas básicas con la menor dañosidad social.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 buen ejemplo a imitar de última data lo encontramos en el Proyecto del Código de Ejecución de Penas de Costa Rica de 1992 que seguramente sacudido por lo que significa el proceso de prisionización en esa institución total o de secuestro como denomina gráficamente Focault a la cárcel, institución que es una verdadera maquinaria de demolición de la personalidad del interno(2), recoge un conjunto de penas alternativas en la fase de ejecución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Estas penas alternativas a la pena de prisión que deben ser parte fundamental de un proyecto desinstitucionalizador fueron previstas extensamente en el Anteproyecto de Código Penal para el Ecuador en 1992 y 1993.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Régimen Penitenciario ecuatoriano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caso ecuatoriano su sistema penitenciario acusa un incremento de la tasa de internos por conductas vinculadas con alguna de las actividades previstas como ilícitas en la Ley de Drogas de 1990 que es un reflejo de la Convención de Viena de 1988, cuyas directrices para ampliar el radio de acción de control social rebasan cualquier límite de racionalidad y proporcionalidad. Las posibilidades de excarcelación dependen de la anuencia del Ministerio Público, la investigación policial se ejerce sin control alguno y el promedio de presos sin condena se acerca a la barrera del 75% del total de los internos.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paradigma de un Régimen Carcelario indolente ha sido constante en el Ecuador, caracterizado con un reclutamiento penitenciario de personas alejadas del manejo de los medios de producción, esto es de los sectores menos favorecidos que son estigmatizados y desperzonalizados hasta el punto de llegar a la pérdida de su propia autoestima(3). La única respuesta legítima frente al aumento de la criminalidad y de cualquier plan de política criminal en el que debe estar incluido una reforma sustancial del Derecho Penal y del Derecho Procesal Penal, depende de los progresos que se logren para mejorar las condiciones sociales y para elevar el nivel de la calidad de vida; esa ha sido la respuesta coherente y racional que han dado los últimos Congresos Mundiales de las Naciones Unidas (V Congreso de 1980 de Caracas, VI de 1985 de Milán, y VII de 1990 de La Habana)(4).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es menos cierto que el espectro de la región nos permite apreciar que las ciudades de mayor crecimiento poblacional son víctimas del precarismo urbano, fruto prohibido de la rapacidad electoral que incentiva las invasiones citadinas, el surgimiento de los cinturones de miseria que se convierten en un factor criminógeno por la falta de fuentes de trabajo y la ausencia de un Estado asistencialista o benefactor, pues la vida se desarrolla en peores condiciones que las que tenían los invasores en su lugar de origen. Los planificadores de una estrategia de política criminal probablemente no saben lo que es, son regularmente improvisados, reivindicando la intervención policial y la cárcel(5).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Cuando funciona y prima la política de la improvisación burocrática, esto degenera en la inexistencia de una verdadera política criminal pues el acceso a ciertos cargos funciona con criterio político y no técnico. Esto explica el porqué de las razones estructurales por las cuales fracasan las campañas antidelicuenciales, pues si no se da un continuo aumento del bienestar de toda la población, con una plena participación en el proceso de desarrollo y una justa distribución de los beneficios que derivan del mismo, cualquier plan de política criminal tiene asegurado anticipadamente el fracaso (6).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La aplicación selectiva y clasista de la ley penal no es una novedad de los tiempos modernos, pues la defensa del interés hegemónico de quienes detentan el poder político ha sido una constante, pues ya en el siglo XVIII el soborno a los jueces era práctica de rutina, y se promovieron una serie de demandas en procura de la publicidad de los procesos penales, de libertad en la elección de los defensores, en la supresión de la tortura, en la legalidad de la prueba, en la protección de las detenciones ilegales, con lo que se pretendía ilusamente promover un derecho igual para todos, que tenía el efecto del realismo mágico (7).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el Ecuador contamos con un Código de Ejecución de Penas y Rehabilitación Penitenciaria (8) que consagra teórica y normativamente la individualización de la pena y del tratamiento, el régimen progresivo en la fase de ejecución, de la clasificación biotipológica delincuencial, el estudio interdisciplinario de la personalidad del recluso, la ubicación poblacional de internos, la pre libertad y la libertad controlada, y hasta se contempla un capítulo para la asistencia de los liberados.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teoría se destaca la presencia del psiquiatra y del trabajador social, lo que podría llevarnos a creer en la ilusión de que se ha dado paso en el Régimen Penitenciario ecuatoriano a la humanización, ampliación y modernización de la cárcel, lo cual no es cierto pues se sigue alimentando por el discurso político la falsía resocializadora, mientras se amplifica y reproduce esa gran atlas que es la cárcel con una enorme fauna humana en cautivero, como dice Massino Pavarini. Es conocido hasta el cansancio que se sigue pretendiendo el gran milagro o la transformación del hombre en cautiverio, mediante la observación.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son mayores las esperanzas en un medio en el que se ha producido una especie de involución y de regresión, llegándose a la institucionalización de la pena de muerte mediante el amparo legal del Art. 45 del Código de Ejecución de Penas que declara impune la conducta del custodio de un interno que a pretexto de impedir la fuga y no actuando en acto de legítima defensa, le dispara incluso por la espalda para impedir el acto de la evasión.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estos últimos 20 años en nuestro país, hasta finales de 1992, la población penitenciaria ha subido de 4.392 a 7.956 internos, lo que significa un aumento del 81%, en tanto que los recursos humanos, materiales y financieros que se destinan a la rehabilitación social no han experimentado cambios notables, aunque se afirme oficialmente que la infraestructura física se ha ampliado de manera considerable, el hecho cierto es que es una cárcel improductiva a la que el Estado no puede atender hasta por la limitación de recursos materiales.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Sabemos por los estudios de Massimo Pavarini, Darío Melossi, Michel Focault, Georg Rusche y Otto Kirchheimer, y otros, la funcionalidad de la cárcel como instrumento de control y dominación política, su proceso de crisis y deterioro y el costo que significa su mantenimiento actual. Igualmente una aproximación dialéctica e histórica a sus orígenes nos permite conocer que solamente en aquellos momentos en que la cárcel se convirtió en pequeño taller y luego en fábrica pudo autoabastecerse porque generaba sus propias rentas, aunque como conocemos históricamente la fábrica terminó liquidándola por la competencia en el mercado fabril, productos baratos y mano de obra de bajo costo que le significaba la cárcel-fábrica.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Plan de Política Criminal y propuestas alternativas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Admitida la necesidad histórica de dar un vuelco a cualquier plan de política criminal buscando la decisión judicial menos violenta, teniendo en cuenta como expresa Zaffaroni, 'que es la fuente de legitimación del ejercicio de poder decisorio de la agencia judicial' (9), admitimos la conveniencia de un primer intento honesto con la previsión de medidas alternativas a las de prisión, como parte de un plan que involucra a los códigos penal y de procedimiento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No obstante, hay que estar prevenidos de que las medidas alternativas no aborten en formas larvadas del control penal que inevitablemente produce la cárcel, pues esas medidas plantean viejos y nuevos problemas que como dice María Angélica Jiménez, 'tocan no sólo el ámbito de la ejecución penal sino del Sistema Penal mismo, en tanto tales medidas se inscriben en el último eslabón del circuito penal y por ende reciben el efecto negativo de los procesos de criminalización que lo preceden'(10). De lo que se trata es de apreciar en su justa dimensión los beneficios de las medidas alternativas que demandan paralelamente una reforma integral del sistema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opinión de Massimo Pavarini en la práctica el equívoco reside en que lo que se pretende es sustituir la pena de cárcel con otra penalidad, 'o sea, se busca `algo diferente de la cárcel' pero siempre algo que sea sufrimiento legal; es decir que sea pena' (11). Así la propuesta reduccionista, vale decir de última ratio de la cárcel, ha sido desnaturalizada porque se ha entendido como posible de alcanzar mediante una estrategia única de alternatividad al sistema de justicia penal, pero esta propuesta de abstención mayor de la cárcel ha sido inconciliable con los fines del poder político que recurre de primera mano a una mayor </w:t>
            </w:r>
            <w:r w:rsidRPr="00EB097F">
              <w:rPr>
                <w:rFonts w:ascii="Arial" w:eastAsia="Times New Roman" w:hAnsi="Arial" w:cs="Arial"/>
                <w:color w:val="003399"/>
                <w:sz w:val="17"/>
                <w:szCs w:val="17"/>
                <w:lang w:eastAsia="es-AR"/>
              </w:rPr>
              <w:lastRenderedPageBreak/>
              <w:t>utilización de la cárcel y del sistema de justicia penal.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Pavarini es de dudosa efectividad sustitutoria la institución de los 'premios y castigos' en razón de la conducta observada 'dentro de los muros' porque lo que se consigue es prolongar el control institucional 'extramuros'. Agregando que, 'reducir la aflicción ?sea acortando el tiempo de pena, sea convirtiendo éste o parte de éste en modalidades delictivas más ligeras? puede abrir el camino a formas de `sufrir' la pena de cárcel en espacio fuera de los muros' (12).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falta de una profunda reforma integral impide que las medidas alternativas sean verdaderamente una respuesta no institucional, vale decir sustitutivas de la pena privativa de libertad. La propuesta de cambio se orienta más que como una respuesta coyuntural e inmediata al hacinamiento carcelario; a la consecución de un cambio de política criminal, de manera que sea lo menos represiva que las circunstancias permitan, pues una menor utilización del poder punitivo del Estado se convierte en un sólido argumento liberal y garantista (13).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medidas alternativas para que sean tales deben desprenderse del cordón umbilical que las une con la cárcel, pues de seguir siendo solamente sustituciones condicionadas a la cárcel no hacen otra cosa que legitimarla y funcionan como mecanismos amplificatorios del control carcelario dado que serían tan sólo un apéndice o prolongación de la cárcel y no su sustitución verdadera. Una política criminal reduccionista al máximo de la utilización de la cárcel nos conduce a una propuesta desprisionalizadora, despenalizadora y descriminalizadora; esto devendría en una ampliación de las medidas alternativas y sustitutivas, para que se detengan los índices de encarcelamiento con medidas no institucionales (14).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Hay suficiente evidencia empírica de que aunque se acceda a un proceso de medidas alternativas o sustitutorias que al menos involucren una concepción política humanitaria menos violenta, el criterio de selectividad para gozar de vías alternativas reproduce y amplifica el criterio de selectividad, de clientelismo penitenciario, y que la ruptura también se produce cuando sobreviene lo que Pavarini ha denominado 'la cultura de la emergencia', esto es, la presencia de categorías definidas como actos de terrorismo, de crimen organizado de grupos mafiosos y de toxicodependencia (15).</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Alguna reforma penal ha permitido la decriminalización de delitos que no tenían ningún costo ni relevancia social como en el caso del concubinato y del adulterio, en 1983. Y posteriormente por resolución del Tribunal de Garantías Constitucionales se descriminalizó la denominada 'habitualidad al hurto' que nos recordaba la conocida 'Ley de vagos y maleantes' que heredaron algunos sistemas penales de la región. En alguna medida esto último ha deslegitimado operaciones paramilitares y redadas inconstitucionales que tenían como objetivo la aprehensión de ciudadanos por encontrarse rotulados como delincuentes profesionales o habituales en las oficinas de seguridad del Estado, lo que entronizaba un auténtico derecho penal de autor, pues se sancionaban delitos sin conducta.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Mediante Ley de 9 de setiembre de 1992 se ha hecho posible una anhelada aspiración que era establecer un límite prudencial y razonable al auto de prisión preventiva, determinando su caducidad o perecibilidad por el transcurso de un plazo. La declaratoria de cesación de una medida de aseguramiento provisoria que era abiertamente violatoria del principio constitucional de inocencia como es la prisión sin condena a firme ha reivindicado en el Ecuador el respeto al Pacto de San José de Costa Rica del que somos signatarios.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 manera de conclusión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se trata de articular las propuestas de un derecho penal alternativo y democrático coherente con la vigencia del Estado de Derecho, como parte de un plan de Política Criminal, hay que desmitificar la ideología fundamentadora de la pena, reexaminando sus límites racionales, partiendo de la premisa de que el discurso legitimante de la rehabilitación, readaptación y resocialización es perverso, pues si la Constitución Política de la República dice que la pena de prisión tiene como fines los de la rehabilitación, readaptación o resocialización, su incumplimiento torna a la pena de prisión en inconstitucional.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Hay que marcar una ruptura con el statu quo buscando propuestas alternativas más democráticas y menos violentas; no se trata de ignorar o abolir el derecho penal y la pena de prisión, por lo menos no en la hora actual; de lo que se trata es de establecer un límite prudencial y razonable a la intervención punitiva que es una manifestación de la violencia oficial. Una mayor expansión democrática en un Estado de Derecho debe significar correlativamente una menor utilización del derecho penal y de la pena. La pena por ser un mal y no tener otro fundamento filosófico que el de la retribución debe ser utilizada en casos de excepción, y sólo cuando sea socialmente necesaria, tomando en consideración la relación costo-beneficio (16).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Como nos recuerda con acierto Roberto Bergalli la doctrina ejecutivo-penal ha hecho notables tentativas 'de adecuar el postulado de la reeducación o resocialización al objetivo de que quien fuera sometido a </w:t>
            </w:r>
            <w:r w:rsidRPr="00EB097F">
              <w:rPr>
                <w:rFonts w:ascii="Arial" w:eastAsia="Times New Roman" w:hAnsi="Arial" w:cs="Arial"/>
                <w:color w:val="003399"/>
                <w:sz w:val="17"/>
                <w:szCs w:val="17"/>
                <w:lang w:eastAsia="es-AR"/>
              </w:rPr>
              <w:lastRenderedPageBreak/>
              <w:t>tratamiento penitenciario pudiera llevar en el futuro una vida sin volver a cometer delitos o bien para que a través de él se alcance, ante todo, la atenuación de los efectos negativos de las penas privativas de libertad. Mas todas estas tentativas han chocado contra la materialidad objetiva de la institución total' (17).</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Hemos trabajado en un Anteproyecto de Código Penal (1992-1993) que contempla un conjunto de estrategias desinstitucionalizadoras que van desde la creación del Juez de Ejecución Penal hasta una serie de penas alternativas como la detención de fin de semana, el arresto domiciliario, el trabajo socialmente comunitario, el sometimiento a instrucciones judiciales, la fijación o prohibición de residencia, la multa reparatoria, la paralización del proceso a prueba, la amonestación, la caución de no ofender, etc. Creemos que debe incluso renunciarse a la pena en casos extremos como sería un irreversible daño físico para el autor con ocasión del hecho, o cuando padeciere una enfermedad que limite sus expectativas de vida, o se encontrare en fase terminal.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Como era de esperarse, este Anteproyecto ha encontrado una seria resistencia en los sectores políticos y hasta en aquellos que se califican como académicos.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Bibliografía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BARATTA, Alessandro. 'Criminología crítica y crítica del derecho penal',</w:t>
            </w:r>
            <w:r w:rsidRPr="00EB097F">
              <w:rPr>
                <w:rFonts w:ascii="Arial" w:eastAsia="Times New Roman" w:hAnsi="Arial" w:cs="Arial"/>
                <w:color w:val="003399"/>
                <w:sz w:val="17"/>
                <w:szCs w:val="17"/>
                <w:lang w:eastAsia="es-AR"/>
              </w:rPr>
              <w:br/>
              <w:t>Siglo XXI, México, 1986.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BERGALLI, Roberto. 'Cárcel y Derechos Humanos', en Revista de Ciencias</w:t>
            </w:r>
            <w:r w:rsidRPr="00EB097F">
              <w:rPr>
                <w:rFonts w:ascii="Arial" w:eastAsia="Times New Roman" w:hAnsi="Arial" w:cs="Arial"/>
                <w:color w:val="003399"/>
                <w:sz w:val="17"/>
                <w:szCs w:val="17"/>
                <w:lang w:eastAsia="es-AR"/>
              </w:rPr>
              <w:br/>
              <w:t>Penales, año 5, Nº 7, San José, Costa Rica, 1993.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JIMENEZ, María Angélica. 'Sistema penal y medidas alternativas', en</w:t>
            </w:r>
            <w:r w:rsidRPr="00EB097F">
              <w:rPr>
                <w:rFonts w:ascii="Arial" w:eastAsia="Times New Roman" w:hAnsi="Arial" w:cs="Arial"/>
                <w:color w:val="003399"/>
                <w:sz w:val="17"/>
                <w:szCs w:val="17"/>
                <w:lang w:eastAsia="es-AR"/>
              </w:rPr>
              <w:br/>
              <w:t>Capítulo criminológico, Nº 20, Universidad del Zulia, Venezuela, 1992.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PAVARINI, Massimo. 'Menos cárcel y más medidas alternativas', en Delito</w:t>
            </w:r>
            <w:r w:rsidRPr="00EB097F">
              <w:rPr>
                <w:rFonts w:ascii="Arial" w:eastAsia="Times New Roman" w:hAnsi="Arial" w:cs="Arial"/>
                <w:color w:val="003399"/>
                <w:sz w:val="17"/>
                <w:szCs w:val="17"/>
                <w:lang w:eastAsia="es-AR"/>
              </w:rPr>
              <w:br/>
              <w:t>y Sociedad, año 1, Nº 2, 2º semestre, Buenos Aires, 1992.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RUSCHE O. y KIRCHHEIMER. 'Pena y estructural social', Temis, Bogotá, 1984.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SAAVEDRA ROJAS, Edgar. 'Las contradicciones en la política criminal del</w:t>
            </w:r>
            <w:r w:rsidRPr="00EB097F">
              <w:rPr>
                <w:rFonts w:ascii="Arial" w:eastAsia="Times New Roman" w:hAnsi="Arial" w:cs="Arial"/>
                <w:color w:val="003399"/>
                <w:sz w:val="17"/>
                <w:szCs w:val="17"/>
                <w:lang w:eastAsia="es-AR"/>
              </w:rPr>
              <w:br/>
              <w:t>narcotráfico', en Boletín de la Comisión Andina de Juristas, Lima-Perú,</w:t>
            </w:r>
            <w:r w:rsidRPr="00EB097F">
              <w:rPr>
                <w:rFonts w:ascii="Arial" w:eastAsia="Times New Roman" w:hAnsi="Arial" w:cs="Arial"/>
                <w:color w:val="003399"/>
                <w:sz w:val="17"/>
                <w:szCs w:val="17"/>
                <w:lang w:eastAsia="es-AR"/>
              </w:rPr>
              <w:br/>
              <w:t>septiembre de 1993.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TOCORA, Fernando. 'Política criminal en América Latina', Librería del</w:t>
            </w:r>
            <w:r w:rsidRPr="00EB097F">
              <w:rPr>
                <w:rFonts w:ascii="Arial" w:eastAsia="Times New Roman" w:hAnsi="Arial" w:cs="Arial"/>
                <w:color w:val="003399"/>
                <w:sz w:val="17"/>
                <w:szCs w:val="17"/>
                <w:lang w:eastAsia="es-AR"/>
              </w:rPr>
              <w:br/>
              <w:t>Profesional, Bogotá, 1989.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ZAFFARONI, Eugenio Raúl. 'En busca de las penas perdidas', 2ª edic.,</w:t>
            </w:r>
            <w:r w:rsidRPr="00EB097F">
              <w:rPr>
                <w:rFonts w:ascii="Arial" w:eastAsia="Times New Roman" w:hAnsi="Arial" w:cs="Arial"/>
                <w:color w:val="003399"/>
                <w:sz w:val="17"/>
                <w:szCs w:val="17"/>
                <w:lang w:eastAsia="es-AR"/>
              </w:rPr>
              <w:br/>
              <w:t>Temis, Bogotá, 1990.</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ZAMBRANO PASQUEL, Alfonso. 'La cárcel: Utopía y realidad', en</w:t>
            </w:r>
            <w:r w:rsidRPr="00EB097F">
              <w:rPr>
                <w:rFonts w:ascii="Arial" w:eastAsia="Times New Roman" w:hAnsi="Arial" w:cs="Arial"/>
                <w:color w:val="003399"/>
                <w:sz w:val="17"/>
                <w:szCs w:val="17"/>
                <w:lang w:eastAsia="es-AR"/>
              </w:rPr>
              <w:br/>
              <w:t>Criminología y Derecho Penal, año 1, julio-diciembre, Nº 2, Edino,</w:t>
            </w:r>
            <w:r w:rsidRPr="00EB097F">
              <w:rPr>
                <w:rFonts w:ascii="Arial" w:eastAsia="Times New Roman" w:hAnsi="Arial" w:cs="Arial"/>
                <w:color w:val="003399"/>
                <w:sz w:val="17"/>
                <w:szCs w:val="17"/>
                <w:lang w:eastAsia="es-AR"/>
              </w:rPr>
              <w:br/>
              <w:t>Guayaquil, 1992.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ZAMBRANO PASQUEL, Alfonso. 'Teoría del Delito y Anteproyecto de Código</w:t>
            </w:r>
            <w:r w:rsidRPr="00EB097F">
              <w:rPr>
                <w:rFonts w:ascii="Arial" w:eastAsia="Times New Roman" w:hAnsi="Arial" w:cs="Arial"/>
                <w:color w:val="003399"/>
                <w:sz w:val="17"/>
                <w:szCs w:val="17"/>
                <w:lang w:eastAsia="es-AR"/>
              </w:rPr>
              <w:br/>
              <w:t>Penal', en Libro Homenaje al Dr. José Miguel García Moreno, Edino,</w:t>
            </w:r>
            <w:r w:rsidRPr="00EB097F">
              <w:rPr>
                <w:rFonts w:ascii="Arial" w:eastAsia="Times New Roman" w:hAnsi="Arial" w:cs="Arial"/>
                <w:color w:val="003399"/>
                <w:sz w:val="17"/>
                <w:szCs w:val="17"/>
                <w:lang w:eastAsia="es-AR"/>
              </w:rPr>
              <w:br/>
              <w:t xml:space="preserve">Guayaquil, 1993.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20" w:name="20"/>
            <w:bookmarkEnd w:id="20"/>
            <w:r w:rsidRPr="00EB097F">
              <w:rPr>
                <w:rFonts w:ascii="Arial" w:eastAsia="Times New Roman" w:hAnsi="Arial" w:cs="Arial"/>
                <w:b/>
                <w:bCs/>
                <w:color w:val="009933"/>
                <w:sz w:val="20"/>
                <w:szCs w:val="20"/>
                <w:lang w:eastAsia="es-AR"/>
              </w:rPr>
              <w:t>"RESTRUCTURACIÒN DEL PODER JUDICIAL UN IMPERATIVO AUN NO SATISFECHO"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Rodrigo Campos Cervera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Tema:</w:t>
            </w:r>
            <w:r w:rsidRPr="00EB097F">
              <w:rPr>
                <w:rFonts w:ascii="Arial" w:eastAsia="Times New Roman" w:hAnsi="Arial" w:cs="Arial"/>
                <w:color w:val="003399"/>
                <w:sz w:val="17"/>
                <w:szCs w:val="17"/>
                <w:lang w:eastAsia="es-AR"/>
              </w:rPr>
              <w:t xml:space="preserve"> Derecho Constitucional</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45"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xml:space="preserve">La justicia, en las palabras de Justiniano, es el supremo ideal que consiste en la voluntad de dar a cada uno lo suyo. Este pensamiento compendia armoniosamente los distintos conceptos acerca de lo que la justicia.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importante y delicada misión de administrar y dictar justicia está desde la antigüedad en manos de los jueces.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vida, el honor y los bienes de las personas quedan bajo la tutela de quienes deben administrar justicia conforme al derecho y la equidad.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precedente introducción es para demostrar la importancia, mejor el imperativo categórico aún no cumplido de establecer en nuestro país un Poder Judicial independiente, integrado por las personas más probas y capaces que puedan administrar recta justicia, dando a cada uno lo suyo.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Constitución Paraguaya Vigente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Una de las preocupaciones fundamentales, que motivó el pedido de reforma total de la Constitución de 1967 fue, sin lugar a dudas, el interés de establecer en la nueva Constitución los principios que asegurasen la independencia institucional y funcional del Poder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Considero que los constituyentes cumplieron con esa exigencia, tan postergad, del pueblo paraguayo mediante distintos artículos establecidos en la Constitución vigente.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Conviene mencionar, concretamente, cuáles son esos preceptos constitucionales y su alcance en cuanto a la independencia del Poder Judicial se refiere.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Independencia Institucional u Objetiva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primer lugar, la independencia institucional del Poder Judicial se basa en el principio de la separación de los Poderes del Estado -mejor seria hablar de órganos del Estado, pero preferimos utilizar la incorrecta caracterización de 'poder' porque es el lenguaje utilizado en la Constitución y en el uso corriente- . Este postulado se encuentra en el art. 3 de la Constitución entre los denominados artículos de apertura porque en ellos se indican las líneas maestras que servirán de orientación y guía de los demás preceptos de la Ley Suprema y de su correcta interpretación.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El principio de la independencia de los poderes, consagrado en el artículo mencionado, hace al aspecto político de la independencia institucional del Poder Judicial. Dicha independencia contempla también el carácter económico de la misma, y, en ese aspecto, se da la autarquía presupuestaría a favor del Poder Judicial, establecida en el art. 249 de la Constitución. En el primer párrafo del citado artículo se establece que el Poder Judicial goza de 'autarquía presupuestaría' y seguidamente se le asegura una cantidad no menor del 3% del Presupuesto de la Administración Central, con lo que se garantizan los fondos necesarios para asegurar la independencia institucional y funcional del Poder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Independencia Funcional o Subjetiva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Esta independencia está referida al Juez como órgano-persona y tiene como propósito proteger su independencia personal para la toma de decisiones e impedir que pueda ser objeto de influencias provenientes del propio ámbito judicial o fuera de él.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Para lograr esta independencia subjetiva se establecen diversos mecanismos, entre los cuales destacamos: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inamovilidad, que protege al Magistrado contra las destituciones arbitrarias; y contra los ascensos o traslados no consentidos por el interesado. Este mecanismo, está previsto en el art. 252 de la Constitución, según el cual los Magistrados son inamovibles en cuanto al 'cargo', a la 'sede' o al 'grado' durante el tiempo para el cual fueron nombrados, salvo su previo y expreso consentimiento.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Las inmunidades judiciales. Las mismas son prerrogativas establecidas a favor de los jueces como otro mecanismo de garantía de su independencia sujetiva. Consiste en la inmunidad de opinión; inmunidad de arresto o detención e inmunidad de proceso penal (ante juicio). Las dos primeras inmunidades favorecen a todos los Magistrados, en general, y están consagradas en el art. 255 de la Constitución. En cuanto a los Ministros de la Corte Suprema, de conformidad con el art. 225, los mismos gozan además de las otras dos mencionadas, de la inmunidad de proceso penal o antejuicio. En efecto, ningún Ministro de la Corte Suprema de Justicia puede ser sometido a un proceso penal sin que,, previamente, sean desaforados mediante la separación de sus cargos. Esta prerrogativa también favorece a los Miembros del Jurado de Enjuiciamento de Magistrados, de conformidad con lo dispuesto en el art. 263. de la Constitución. Este criterio, recogido en el art. 6º de la Ley 296 'Que organiza el Funcionamiento del Consejo de la Magistratura', mereció la crítica de abogados que cuestionaros u constitucionalidad, la que no fue acogida en la sentencia 197 de la Corte Suprema de Justicia.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Las incompatibilidades judiciales. Mediante este mecanismo se pretende asegurar tanto la imparcialidad del Juez como la dedicación exclusiva a sus delicadas e importantes funciones. Además, en general, el fundamento de las incompatibilidades ingresa en el terreno de lo ético. La Constitución recoge también este importante mecanismo o garantía de independencia funcional en el cargo público o privado remunerado o no, 'salvo la docencia o la investigación científica a tiempo parcial'. Este mismo artículos les impide 'desempeñar cargos en organismos oficiales o privados, partidos, asociaciones o movimientos políticos'.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Hemos puntualizado, sucintamente, los preceptos constitucionales que hacen a la independencia institucional y funcional del Poder Judicial. Ahora nos referiremos a los mecanismos constitucionales establecidos para reestructurar el Poder Judicial.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En la Constitución anterior, a pesar de consagrarse formalmente el principio de la separación de los poderes como garantía de la independencia funcional, no existían preceptos que asegurasen, siquiera formalmente, la independencia funcional de los jueces. Por el contrario, el sistema de la Constitución anterior desvirtuaba dicha independencia, tanto por el sistema de la elección de los Magistrados como por la coincidencia del período de ejercicio de los cargos judiciales con los del poder Ejecutivo, poder que tenía decisiva participación en la designación de los jueces.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Constitución vigente modifica substancialmente el sistema anterior y consagra, como hemos visto, mecanismos que aseguran la independencia objetiva y subjetiva del Poder Judicial. Según lo expresado precedentemente.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Consejo de la Magistratura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Constitución vigente creó un órgano específico, el Consejo de la Magistratura, para contribuir a asegurar la independencia objetiva y subjetiva del Poder Judicial. Este órgano, de integración pluralista, compuesto de ocho miembros que provienen de la Corte Suprema de Justicia, del Poder Ejecutivo, del Legislativo, del gremio de abogados y de las facultades de Derecho de la Nacional y de las privadas, se encuentra instituido en el art. 262 de la Constitución.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Sus miembros deben ser de nacionalidad paraguaya, tener 35 años de edad, poseer titulo de abogado, y haber ejercido la profesión o desempeñado funciones judiciales o ejercicio de la docencia universitaria durante 10 años en forma conjunta, separada o alternativamente.</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Las atribuciones del Consejo de la Magistratura se encuentran establecidas en el art. 264 de la Constitución y consisten en seleccionar y proponer las ternas de candidatos para integrar la Corte Suprema de Justicia y el Supremo Tribunal de Justicia Electoral y elevarlas a la Cámara de Senadores para que los designe con acuerdo del Poder Ejecutivo.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Para la designación de los demás jueces el Consejo de la Magistratura propone ternas a la Corte Suprema de Justici8a. Para el nombramiento del Fiscal General del Estado, El Consejo de la Magistratura eleva una terna al Poder Ejecutivo para que éste lo designe, con acuerdo del Senado.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ley 296 'Que organiza el Funcionamiento del Consejo de la Magistratura', fue objeto de cinco acciones de inconstitucionalidad promovidas por varios grupos de abogados, en un número total de aproximadamente medio millar. Estos profesionales cuestionaron 21 artículos de la Ley 296. Respecto de estas acciones de inconstitucionalidad podemos afirmar, de acuerdo con nuestro criterio, que las mismas no estaban inspiradas en la defensa de derechos preteridos de los litigantes sino, lamentablemente, en el afán de obstruir, la integración del Consejo de la Magistratura y por ende la reestructuración del Poder Judicial y de la Justicia Electoral.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 xml:space="preserve">La Corte Suprema de Justicia en mayoría dictó la Sentencia 197 haciendo lugar a la inconstitucionalidad e inaplicabilidad de los artículos 23, 24, y 30 de la Ley 296. Estos artículos se refieren al sistema D`Hont, que la ley establece para la elección de los abogados. </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Habida cuenta que la Constitución, en el art. 260 inc. 1), limita el efecto de la sentencia que declara la inconstitucionalidad a la inaplicabilidad de los artículos favorecidos por la misma, exclusivamente en beneficio de los accionantes, los mismos artículos cuestionados, igual que los no cuestionados, siguen plenamente vigentes. En consecuencia, la Corte Suprema de Justicia dictó el Auto Interlocutorio Nº 197 convocando a comicios, bajo el sistema D`Hont, a todos los abogados, según lo dispone el art. 19 de la Ley 296.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Al tiempo de escribir este artículo existen amenazas de nuevas acciones de inconstitucionalidad que promoverían otros grupos de abogados sobre los mismo artículos antes cuestionados. Se comenta también que recurriría, por la vía del amparo, contra el A.I. 197 de la Corte Suprema de Justicia que fijó la fecha de los comicios para la elección de los abogados y el sistema electoral D`Hont correspondiente. No es el propósito de este artículo demostrar la inconsistencia jurídica de estas presuntas acciones. Sin embargo, no podemos silenciar la honda preocupación que nos asiste al advertir que intencionalmente, o quizás no, se interfiere la reestructuración del Poder Judicial y la organización de la Justicia Electoral, sin los cuales el Estado de Derecho y la convivencia pacífica y armónica de la sociedad pueden deteriorarse gravemente, dañando la legitimidad de ejercicio del gobierno, integralmente considerado, e incluso el proceso de transición hacia la democracia.&lt; </w:t>
            </w:r>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 </w:t>
            </w:r>
          </w:p>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bookmarkStart w:id="21" w:name="21"/>
            <w:bookmarkEnd w:id="21"/>
            <w:r w:rsidRPr="00EB097F">
              <w:rPr>
                <w:rFonts w:ascii="Arial" w:eastAsia="Times New Roman" w:hAnsi="Arial" w:cs="Arial"/>
                <w:b/>
                <w:bCs/>
                <w:color w:val="009933"/>
                <w:sz w:val="20"/>
                <w:szCs w:val="20"/>
                <w:lang w:eastAsia="es-AR"/>
              </w:rPr>
              <w:t>"SOBRE ONTOLOGIA Y LÓGICA DE LAS NORMAS "</w:t>
            </w:r>
            <w:r w:rsidRPr="00EB097F">
              <w:rPr>
                <w:rFonts w:ascii="Arial" w:eastAsia="Times New Roman" w:hAnsi="Arial" w:cs="Arial"/>
                <w:color w:val="003399"/>
                <w:sz w:val="17"/>
                <w:szCs w:val="17"/>
                <w:lang w:eastAsia="es-AR"/>
              </w:rPr>
              <w:br/>
              <w:t>Daniel Mendonca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b/>
                <w:bCs/>
                <w:color w:val="009933"/>
                <w:sz w:val="20"/>
                <w:szCs w:val="20"/>
                <w:lang w:eastAsia="es-AR"/>
              </w:rPr>
              <w:t xml:space="preserve">Tema: </w:t>
            </w:r>
            <w:r w:rsidRPr="00EB097F">
              <w:rPr>
                <w:rFonts w:ascii="Arial" w:eastAsia="Times New Roman" w:hAnsi="Arial" w:cs="Arial"/>
                <w:color w:val="003399"/>
                <w:sz w:val="17"/>
                <w:szCs w:val="17"/>
                <w:lang w:eastAsia="es-AR"/>
              </w:rPr>
              <w:t>Hermenéutica Juridica, Epistemologia y Logica Juridica</w:t>
            </w:r>
          </w:p>
          <w:p w:rsidR="00EB097F" w:rsidRPr="00EB097F" w:rsidRDefault="00EB097F" w:rsidP="00EB097F">
            <w:pPr>
              <w:spacing w:before="100" w:beforeAutospacing="1" w:after="100" w:afterAutospacing="1" w:line="240" w:lineRule="auto"/>
              <w:jc w:val="right"/>
              <w:rPr>
                <w:rFonts w:ascii="Arial" w:eastAsia="Times New Roman" w:hAnsi="Arial" w:cs="Arial"/>
                <w:color w:val="003399"/>
                <w:sz w:val="17"/>
                <w:szCs w:val="17"/>
                <w:lang w:eastAsia="es-AR"/>
              </w:rPr>
            </w:pPr>
            <w:hyperlink r:id="rId46" w:anchor="arriba" w:history="1">
              <w:r w:rsidRPr="00EB097F">
                <w:rPr>
                  <w:rFonts w:ascii="Arial" w:eastAsia="Times New Roman" w:hAnsi="Arial" w:cs="Arial"/>
                  <w:i/>
                  <w:iCs/>
                  <w:color w:val="003399"/>
                  <w:sz w:val="17"/>
                  <w:szCs w:val="17"/>
                  <w:lang w:eastAsia="es-AR"/>
                </w:rPr>
                <w:t>volver arriba</w:t>
              </w:r>
            </w:hyperlink>
          </w:p>
        </w:tc>
      </w:tr>
      <w:tr w:rsidR="00EB097F" w:rsidRPr="00EB097F" w:rsidTr="00EB097F">
        <w:trPr>
          <w:tblCellSpacing w:w="0" w:type="dxa"/>
        </w:trPr>
        <w:tc>
          <w:tcPr>
            <w:tcW w:w="0" w:type="auto"/>
            <w:hideMark/>
          </w:tcPr>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t>1. Palabras preliminares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Me propongo discutir en este ensayo dos aspectos de un estimulante estudio del profesor Carlos Nino, sugerentemente titulado 'Algunas preocupaciones meta-filosóficas y su reflejo en una concepción compleja de las normas jurídicas'1. La ontología de las normas que construye y la lógica de los juicios normativos que sugiere. Las discrepancias que expondré sobre estas cuestiones constituirán una prueba clara de mi enorme aprecio intelectual y personal por Nino, pues como él mismo se encargó de enseñarme, el mejor homenaje que puede ofrecerse a un pensador es someter a análisis crítico sus ideas. Su prematura muerte me priva, por cierto, de la respuesta que, sin lugar a dudas, hubiese generado este ensayo, arrojando luz donde no la hubiere2.</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La concepción de Nino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Nino distingue cuatro categorías de normas que considera necesario aislar para comprender el fenómeno normativo: prescripciones, juicios constatativos de preseripciones, juicie normativos puros y juicios normativos de adhesión3. En su construcción, 'todas las clases de Juicios mencionadas, salvo la primera, son proposiciones: es decir ellas no son oraciones o entidades gramaticales o actos lingüísticos, sino el significado de tales oraciones o actos lingüísticos' (p. 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(1) Prescripciones. 'Una prescripción es un acto lingüístico que consiste en formular un juicio normativo con la intención de que ese mismo acto lingüístico constituya parte de una razón del destinatario para realizar la acción normada, dado algún juicio normativo al que el destinatario se adhiere'. En este sentido, 'lo que interesa es especialmente el aspecto de formulación del Juicio, la que puede hacerse oralmente o por escrito. Sin formulación no hay prescripción (mientras por supuesto hay juicio que nadie ha formulado </w:t>
            </w:r>
            <w:r w:rsidRPr="00EB097F">
              <w:rPr>
                <w:rFonts w:ascii="Arial" w:eastAsia="Times New Roman" w:hAnsi="Arial" w:cs="Arial"/>
                <w:color w:val="003399"/>
                <w:sz w:val="17"/>
                <w:szCs w:val="17"/>
                <w:lang w:eastAsia="es-AR"/>
              </w:rPr>
              <w:lastRenderedPageBreak/>
              <w:t>y que quizá nadie formule)'. Conviene aclarar, agrega Nino, que 'hay otra noción de norma que está estrechamente relacionada con la que se refiere a prescripciones, pero no denota el acto de prescribir sino el producto material de ese acto, que puede consistir en grafismos o textos o en sonidos. La característica ambigüedad de proceso-producto que tienen algunas palabras obscurece a veces la distinción entre estas dos nociones interrelacionadas de norma' (p. 10). De este modo, según Nino, 'es importante advertir que la prescripción es la formulación de un juicio normativo' (p. 11).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Juicios constatativos. Según Nino, 'estos juicios constatativos pueden por cierto ser verdaderos o falsos, dependiendo tal verdad de que efectivamente haya acaecido el acto lingüístico prescriptivo en cuestión. El acto lingüístico referido por la proposición constatativa puede haberse dado en el pasado, respecto del momento de la formulación de esa proposición, o en el futuro. En este último caso la proposición constatativa formula una predicción' (p. 13). Conforme a su explicación. 'la verdad o falsedad de las proposiciones constatativas depende no solamente de que hayan pronunciado determinadas palabras sino que se lo haya hecho con la intención correspondiente y que las palabras y la intención correspondan al juicio normativo que se dice prescripto o que haya convenciones apropiadas para la asignación de esa intención' (p. 13).</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Juicios normativos. Explica Nino que tales juicios 'son proposiciones que. predican de una conducta que es debida, permitida o prohibida' (p. 16). La importancia de tales juicios radica en que 'una decisión o una acción sólo puede justificarse en última instancia en juicios normativos, o sea juicios que califican a una acción como debida, permitida o prohibida. Sólo la aceptación de un juicio de esta índole es pragmáticamente inconsistente con la realización de la acción o decisión opuesta a la que se quiere justificar' (p. 14).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Desde su punto de vista, 'un juicio normativo puro puede ser una norma jurfdica cuando se trata de un juiciode moral intersubjetiva que se refiere a la forma en que debe organizarse y emplearse el cuasimonopolio de la coacción que se constituye en un grupo social' (p. 17). Concluye Nino señalando que 'estos juicios son verdaderos o falsos. El juicio de que todos debemos abstenernos de matar es verdadero si y sólo si todos debemos abstenernos de matar' (p. 16).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Juicios de adhesión. Explica Nino que 'de un juicio normativo puro que establece que una autoridad debe ser obedecida se deduce, con la intermediación de un juicio constatativo de la prescripción de la autoridad, un juicio normativo de adhesión' (p. 20) y que los 'juicios normativos de adhesión tienen una dimensión pragmática ya que sirven para justificar acciones o decisiones' (p. 20). En opinión de Nino, también 'los juicios de adhesión son verdaderos o falsos, estando determinado su valor de verdad por la verdad o falsedad del juicio normativo puro del que deriva, por la verdad o falsedad del juicio constatativo de una prescripción que media esa derivación y por la corrección de la deducción a partir de tales juicios' (p. 19).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 ejemplo de tal derivación sería el siguiente: (1) Es moralmente debido obedecer a la autoridad A, (2) La autoridad A ha prescripto 'Es obligatorio hacer p', ergo (3) Debo (moralmente) hacer p. El razonamiento incluye como premisa (1) un juicio normativo de índole moral y como premisa (2) un juicio constatativo; finalmente, concluye con un juicio de adhesión, (3), el cual es normativo ya que deriva de premisas una de las cuales tiene ese carácter (p. 18). Nada impide, por cierto, que la premisa normativa sea de índole prudencial (temor a la sanción, por ejemplo), en cuyo caso tendría la forma (1'). Es prudencialmente debido obedecer a la autoridad A, derivando de ella, en conjunción, con (2), la conclusión (3') Debo (prudencialmente) hacer p.</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Observaciones sobre la concepción de Nino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Contructivismo ético. De acuerdo con la posición étidca de Nino -denominada 'constructivismo' en adhesión a una sugerencia terminológica de Rawls4 ~ 'un juicio moral es verdadero cuando sería aprobado en condiciones de imparcialidad, racionalidad y conocimiento de los hechos relevantes' (p. 6), puesto que 'quienes participan del discurso moral para dirimir sus conflIctos se comprometen implícitamente a adoptar la solución que indicaría un Arbitro ideal, o sea alguien que fuera completamente racional, que conociera todos los hechos relevantes y que fuera plenamente imparcial, en el sentido de dar Igual peso a los intereses de igual jerarquía de los involucrados en el conflicto5'. De este modo, según la concepción de Nino, si una persona poseyera las características mencionadas (racionalidad, conocimiento e imparcialidad). resultaría un Juez moral perfecto en cada situación y sería capaz -infaliblemente- de decir qué es correcto y qué incorrecto: saber que el Arbitro Ideal aprueba x sería lo mismo que saber que x es correcto. Pero no sólo eso, puesto que el pronunciamiento del árbitro daría el significado de 'correcto' e'incorrecto', en la medida en que esta teoría sea considerada metaétlca6.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La teoría es razonable en tanto no requiere la existencia efectiva del Arbitro y sólo sostiene que, si </w:t>
            </w:r>
            <w:r w:rsidRPr="00EB097F">
              <w:rPr>
                <w:rFonts w:ascii="Arial" w:eastAsia="Times New Roman" w:hAnsi="Arial" w:cs="Arial"/>
                <w:color w:val="003399"/>
                <w:sz w:val="17"/>
                <w:szCs w:val="17"/>
                <w:lang w:eastAsia="es-AR"/>
              </w:rPr>
              <w:lastRenderedPageBreak/>
              <w:t>hubiese tal ser, su juicio sería indefectiblemente acertado. La afirmación es hipotética y no asegura que haya un Arbitro ideal, sino que si lo hubiera, entonces lo que él aprobara moralmente sería (por definición) correcto: 'el hecho moral al que me estoy refiriendo -dice Nino- es peculiar porque consiste en una circunstancia contrafáctica; consiste en algo que sucedería si otro hecho que en la realidad no ocurre (el que alguien sea completamente racional e imparcial) ocurriera7'. Pero la teoría va más lejos, ya que sostiene no sólo que el juicio del Arbitro sería acertado en cada caso, sino que lo seria por definición: la oración 'x es correcto' sería equivalente en significado a 'el árbitro ideal aprueba x'. Esto parece objetable: podría concederse que todo aquello que el Arbitro dijese fuera siempre acertado, pero parece inadmisible que ese sea el significado de 'x es correcto'. La definición, ciertamente, nada nos dice sobre la naturaleza de x (en rigor nos dice más sobre el árbitro que sobre el acto juzgado). Esto resulta bastante extraño, ya que cuando decimos que x es correcto, entendemos -o eso parece- que x mismo posee alguna propiedad. Aunque estemos dispuestos a aceptar que el juicio del árbitro Ideal resultaría verdadero, no lo aceptaríamos como aquello que entendemos por 'x es correcto', o como criterio que usamos siempre para determinar si x es correcto. Al decir de Hospers, 'si ya creemos que un acto es recto, entonces asentiremos a la proposición de que un observador ideal lo aprobaría, pero difícilmente a la inversa: cuando decimos que un observador ideal lo aprobaría, podemos entonces creer que es recto, pero no es esto lo que se quiere significar al decir que es recto'8.</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Podría objetarse a la teoría la forma de describir lo que se quiere dar a entender cuando calificamos algo de correcto o incorrecto. Es probable que los usuarios del lenguaje no procedan como pretenden los constructivistas sino a la inversa: primero se preguntan a sí mismos sobre la corrección del acto x y luego -en todo caso- cómo lo juzgaría el árbitro ideal, comparando entonces ambas opiniones a fin de determinar si ellas coinciden siempre o no. De ser éste el procedimiento adoptado, seguirían existiendo dos características: la de ser x correcta y la de ser aprobada por el Arbitro ideal. Aunque ambas puedan tener la misma denotación, ello no implicaría que signifiquen lo mismo, ya que dos propiedades pueden ir juntas sin que por ello se conviertan en una sola. De existir realmente dos características, el constructivismo no habría tenido éxito como teoría naturalista que pretende elucidar el significado de los términos éticos: si no define el término ético, sino que solamente nos indica qué otra propiedad va regularmente asociada con la corrección, entonces no nos dice lo que es la correción. Y éste parecería ser un síntoma de fracaso.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Hechos normativos. La idea de que las normas son verdaderas o falsas está basada en una analogía con la llamada convención T de Tarski, de acuerdo con la cual 'P' es verdadera si, y sólo si, P (donde 'P' representa el nombre de una proposición y P el estado de cosas al cual aquélla hace referencia). En el caso de las normas la cláusula sería la siguiente: 'N' es verdadera si, y sólo si, N (donde 'N' representa la expresión lingüística de la norma N)9. A esta construcción subyace, obviamente, la noción de verdad como correspondencia. Sin embargo, no basta con señalar la analogía, puesto que resulta necesario justificar la existencia de los hechos que hacen verdaderas a las normas. Nino no duda en postular la existencia de hechos normativos, lo que remite su teoría, inevitablemente, a una ontología muy complicada, ontología que, por cierto, él no se ocupa sino de perfilar. Es así que sin la elaboración cuidadosa de una construcción teórica capaz de dar cuenta de hechos específicamente normativos, la pretensión de que las normas poseen valores veritativos permanece sin sustento sólido.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podría conceder a Nino, en todo caso -sobre la base de su postulación de que tal hecho normativo consiste en una circunstancia contrafáctica (la existencia de un juzgador moral ideal: racional, informado e imparcial)10, que las normas serían verdaderas, si se dieran tales circunstancias. Esto parecería conducir a la concepción de Nino hacia la teoría de los mundos posibles. En este sentido, se afirma -desde algún punto de vista- que los mundos posibles son tan reales como el mundo actual y que todo forma parte de nuestra ontologla. Si se sostiene que la realidad es más amplia y que está constituida no sólo por lo que de hecho se da, sino también por lo que puede darse, entonces cabe predicar verdad o falsedad de las normas en un mundo determinado, si además puede indicarse cuál de esos mundos tiene la característica de ser un mundo óptimo. De este modo, la construcción permitiría asignar valores de verdad a las normas pero exigiría nuevamente la aceptación de una ontología excesivamente compleja, cuyos fundamentos restaría por elaborar. La situación sería similar incluso para aquellos que, en forma no literal, interpretan el hablar acerca de los mundos posibles como hablar acerca de los diferentes modos en que podríamos concebir el mundo11.</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Se han conseguido avances importantes en la explicación de los presupuestos que subyacen a la atribución de valores de verdad a las normas12. Considerando que en su función regulativa ellas hacen referencia a acciones futuras, sus condiciones de verdad estarían dadas, entre otros factores, por la situación actual del agente, las situaciones y opciones futuras y el orden jerárquico de las diferentes alternativas de acción. Sobre esta base, sería posible detectar dos posiciones básicas en materia de valores: el realismo y el conceptualismo. Para la primera, los valores y, por consiguiente, el orden jerárquico de las alternativas, formarían parte objetiva de la realidad; mientras que para la segunda los valores serían constituidos por el hombre y, en consecuencia, los juicios acerca del orden jerárquico de las alternativas no serían verdaderos ni falsos y necesitarían ser justificados de otra manera. Esto llevaría </w:t>
            </w:r>
            <w:r w:rsidRPr="00EB097F">
              <w:rPr>
                <w:rFonts w:ascii="Arial" w:eastAsia="Times New Roman" w:hAnsi="Arial" w:cs="Arial"/>
                <w:color w:val="003399"/>
                <w:sz w:val="17"/>
                <w:szCs w:val="17"/>
                <w:lang w:eastAsia="es-AR"/>
              </w:rPr>
              <w:lastRenderedPageBreak/>
              <w:t>a distinguir, a su vez, dos variantes en el conceptualismo: el conceptualismo absolutista y el conceptualismo relativista. De acuerdo con la postura absolutista -la cual adopta Nino- todos aquellos que se encontraran en condiciones ideales (contrafácticas) de racionalidad, imparcialidad y conocimiento aceptarían la misma jerarquía de alternativas. La postura relativista, en cambio, admitiría que podrían darse discrepancias incluso entre sujetos en condiciones ideales. Se seguiría de esto que la justificación del orden jerárquico residiría para los absolutistas en el consenso en condiciones ideales, mientras que para los relativistas en acuerdos efectivos del grupo social. De este modo, se da la aceptación o el rechazo del principio en virtud del cual todos los individuos en condiciones ideales aceptarían la misma jerarquía para cualquier conjunto de alternativas, lo que determinaría tal discrepancia interna en el conceptualismo.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Es importante advertir que realistas y absolutistas coinciden en una cuestión importante: ambos sostienen que existe, para cada caso, una jerarquía objetiva que resulta privilegiada por sobre todas las demás, dado lo cual deben hacerse cargo de explicar el modo como tal jerarquía puede ser conocida y de ofrecer las razones que la convierten en la única aceptable. Planteada como se halla por los relativistas la posibilidad de que tal jerarquía objetiva pueda no existir, recae sobre aquellos la carga de su prueba.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(3) Las normas como actos. La teoría de Nino parte de una valiosa contribución de A1chourrón y Bulygin relativa a dos concepciones diferentes de las normas: la concepción expresiva y la concepción hilética13. Para la concepción expresiva las normas son el resultado del uso prescriptivo del lenguaje, mientras que para la concepción hilética son significados de ciertas expresiones denominadas enunciados normativos. Según A1chourrón y Bulygin, las dos concepciones son radicalmente diferentes e incompatibles y no existe espacio para ningún tipo de eclecticismo. Nino parece poner en duda esta conclusión al sostener que 'no es posible rechazar a priori la posibilidad de que algunos conceptos de norma respondan a la concepción expresiva, otros a la concepción hilética, y tal vez otros a cierta combinación entre las dos concepciones' (p. 9). Esta duda me parece, en cierta medida, justificada.</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A1chourrón y Bulygin han presentado a la concepción expresiva en forma no siempre uniforme: en ciertas ocasiones las normas son concebidas como actos y en otras como resultados de actos. Esto se refleja claramente en su exposición: 'para la concepción expresiva, las normas son el resultado del uso prescriptivo del lenguaje'; una oración (...) puede ser usada en diferentes ocasiones para hacer cosas distintas (aseverar, interrogar, ordenar, conjeturar) y el 'resultado de esas acciones será una aserción, una pregunta, una orden o una conjetura'; 'para la concepción expresiva las normas son esencialmente órdenes'14 y 'ordenar (en el sentido de dar órdenes) es una actividad esencialmente lingüística, un acto lingüístico', de modo tal que ordenar puede ser descrito como el acto de promulgar una norma15. Creo que la conocida y peligrosa ambigüedad de proceso - producto se halla oculta dentro de las expresiones 'orden' y 'prescripción', ya que ellas pueden ser entendidas tanto como el acto de ordenar o prescribir, como su resultado. De este modo, introducida esta distinción parecería que las concepciones expresiva e hilética tienen posibilidades de convivir en una sola teoría, una teoría en la que las normas sean concebidas como oraciones (con significado) o como significados de expresiones resultantes de la ejecución de actos prescriptivos.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La posición de Nino es un tanto extraña, puesto que, consciente de la ambigüedad, se inclina a concebir a las prescripciones como actos y no como resultados, lo que trae consecuencias serias de acuerdo a su teoría: 'Es bueno aclarar -dice Nino- que hay otra noción de norma que está estrechamente relacionada con la que se refiere a prescripciones, pero que no denota el acto de prescribir sino el producto material de ese acto, que puede consistir en grafismos o textos o en sonidos'; y termina señalando: 'la característica ambigüedad de proceso - producto que tienen algunas palabras obscurece a veces la distinción entre estas dos nociones relacionadas de norma' (p. 10). La principal consecuencia de esta asunción es que las prescripciones así concebidas quedan descalificadas como componentes de un razonamiento práctico, puesto que -como dice Nino- 'si identificamos a las normas con prescripciones, o sea con actos lingüísticos, ellas resultan objetos demasiado 'duros' como para entrar en el razonamiento de alguien que razona en base a normas' (p. 12). Creo que esta consecuencia puede evitarse tomando la decisión opuesta a la de Nino, es decir, concibiendo a las normas como resultado de actos y no como los actos mismos, sin negar la existencia e importancia de estos últimos.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 xml:space="preserve">En otros estudios Nino ha distinguido tres conceptos de norma muy diferentes desde el punto de vista ontológico, aunque íntimamente relacionados entre sí. El primero 'hace referencia a un juicio o proposición que predica de una acción que debe, no debe o puede hacerse'. El segundo 'se refiere a una prescripción o sea al acto lingüístico consistente en formular una norma en el sentido anterior'. El tercero 'hace referencia a un texto escrito que es el resultado de un acto lingüístico como el referido por el sentido anterior'16. Sostuve en otra ocasión que es posible articular estas nociones en una sola concepción, identificando y diferenciando tres aspectos distintos y conexos del fenómeno normativo: el acto normativo, el enunciado normativo y la norma17. De acuerdo con este punto de vista, el acto normativo es un acto lingüístico ejecutado por un sujeto determinado en un lugar y tiempo dados, destinado a promulgar una prescripción y, como tal, orientado a dirigir la conducta de determinados sujetos. Por su parte, el </w:t>
            </w:r>
            <w:r w:rsidRPr="00EB097F">
              <w:rPr>
                <w:rFonts w:ascii="Arial" w:eastAsia="Times New Roman" w:hAnsi="Arial" w:cs="Arial"/>
                <w:color w:val="003399"/>
                <w:sz w:val="17"/>
                <w:szCs w:val="17"/>
                <w:lang w:eastAsia="es-AR"/>
              </w:rPr>
              <w:lastRenderedPageBreak/>
              <w:t>enunciado resultante del acto normativo, el enunciado normativo, es una cadena de expresiones del lenguaje natural, gramaticalmente completa y correcta. Finalmente, la norma es el significado del enunciado formulado con motivo de la ejecución del acto normativo18. Este esquema explicativo -creo- permite especificar y diferenciar el status lingüístico que a cada uno de los componentes del fenómeno normativo corresponde: pragmático en el caso del acto, sintáctico en el caso del enunciado y semántico en el de la norma. También creo que supera las barreras teóricas que el esquema de Nino impone, sin clausurar las sendas abiertas porl él.</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(4) Lógica de los Juicios normativos. Nino sostiene que el operador 'dominante' es el de deber y que los demás pueden definirse en base a él. En su formulación, (1) 'si una conducta es debida, la no realización de esa conducta no puede ser debida'; (1') 'ella está prohibida', (2) 'cuando es debido no interferir con una cierta conducta, esa conducta está permitida', (3) 'una conducta no puede ser debida y no debida al mismo tiempo', (4) 'ni puede ser debida y estar prohibida simultáneamente', (5) 'una conducta puede no ser debida ni estar prohibida', y (6') 'si una conducta es debida, ella está permitida, no solamente en el sentido de que no está prohibida, sino en el sentido de que es debido no interferir con ella' (p. 16). Veamos estas relaciones con más cuidado. Las presentaré formalizadas para su mejor comprensión (usaré la notación simbólica tradicional)19.</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(l) Op-&gt; - O - P (1') Op-&gt;V - p</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(2) O - Vp -&gt; Pp</w:t>
            </w:r>
            <w:r w:rsidRPr="00EB097F">
              <w:rPr>
                <w:rFonts w:ascii="Arial" w:eastAsia="Times New Roman" w:hAnsi="Arial" w:cs="Arial"/>
                <w:color w:val="003399"/>
                <w:sz w:val="17"/>
                <w:szCs w:val="17"/>
                <w:lang w:eastAsia="es-AR"/>
              </w:rPr>
              <w:br/>
              <w:t>(3) - (Op &amp; - Op)</w:t>
            </w:r>
            <w:r w:rsidRPr="00EB097F">
              <w:rPr>
                <w:rFonts w:ascii="Arial" w:eastAsia="Times New Roman" w:hAnsi="Arial" w:cs="Arial"/>
                <w:color w:val="003399"/>
                <w:sz w:val="17"/>
                <w:szCs w:val="17"/>
                <w:lang w:eastAsia="es-AR"/>
              </w:rPr>
              <w:br/>
              <w:t>(4) - (Op &amp; Vp)</w:t>
            </w:r>
            <w:r w:rsidRPr="00EB097F">
              <w:rPr>
                <w:rFonts w:ascii="Arial" w:eastAsia="Times New Roman" w:hAnsi="Arial" w:cs="Arial"/>
                <w:color w:val="003399"/>
                <w:sz w:val="17"/>
                <w:szCs w:val="17"/>
                <w:lang w:eastAsia="es-AR"/>
              </w:rPr>
              <w:br/>
              <w:t>(5) - Op &amp; - Vp</w:t>
            </w:r>
            <w:r w:rsidRPr="00EB097F">
              <w:rPr>
                <w:rFonts w:ascii="Arial" w:eastAsia="Times New Roman" w:hAnsi="Arial" w:cs="Arial"/>
                <w:color w:val="003399"/>
                <w:sz w:val="17"/>
                <w:szCs w:val="17"/>
                <w:lang w:eastAsia="es-AR"/>
              </w:rPr>
              <w:br/>
              <w:t>(6) Op -&gt; Pp (6') Pp = (- Vp &amp; O - Vp)</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Nino fundamenta estas relaciones en base a las nociones de verdad y de posibilidad. Sin embargo, algunas de ellas pueden ser fundamentadas de una manera diferente, sin necesidad de asignar valor veritativo a los juicios normativos, mediante la noción de posibilidad de ejecución de la conducta prescripta. Este es el criterio propuesto por Von Wright en Norma y Acción20, distinguiendo entre conjuntos de normas de obligación, de permisión y mixtos (de obligación y permisión), Von Wright explica: (a) un conjunto de normas de obligación es consistente si, y sólo si, 'es lógicamente posible, bajo cualquier condición de aplicación dada, obedecer todos los mandatos; colectivamente, que se aplican bajo esa condición'21 (b) un conjunto de normas permisivas es invariablemente consistente, dado que 'los permisos nunca se contradicen'22; y (c) un conjunto mixto de normas de obligación y permisión es consistente si, y sólo si, 'es lógicamente posible, bajo cualquier condición de aplicación dada, obedecer todos los mandatos colectivamente y hacer uso individualmente, de cada uno de los permisos que se aplican bajo esa condición'23. La conclusión es, pues, la siguiente: asignar valores de verdad a los juicios normativos abre la posibilidad de una lógica de normas, pero la conversa no es válida, dado que la aceptación de que existen relaciones lógicas entre tales juicios no compromete con la tesis de que ellos poseen valores de verdad24.</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Una cuestión interesante es la que se presenta en las cláusulas (2) y (6), a saber, la noción de no interferencia. Nino dice que 'cuando es debido no interferir con una cierta conducta, esa conducta está permitida' y que 'si una conducta es debida ella está permitida, no solamente en el sentido de que no está prohibida, sino en el sentido de que es debido no interferir con ella'. Parece obvio que la no-interferencia reclamada por Nino no es una no-interferencia fáctica sino normativa. Por consiguiente, la cláusula (2) debe ser entendida como una limitación a la autoridad normativa, en el sentido de que debe abstenerse de prohibir la conducta en cuestión. De ser así (2) sería un caso típico de las llamadas normas de orden superior, esto es, normas que prescriben (ordenan, prohiben o permiten) la ejecución de actos normativos (actos de promulgación o derogación de normas)25. La formalización propuesta en (2), sin embargo, podría se rechazada por mal formada, pues cabe sostener que las normas no pueden ser contenidos de otras normas. La opción sería representar (2) tal como sigue: (2') 0 - Vp -&gt; Pp, según han sugerido Alchourrón y Bulygin, de modo a dejar en claro que, si es obligatorio abstenerse de prohibir una conducta, ella está permitida26. De igual manera, la formalización e interpretación de (6) podría modificarse en el mismo sentido.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Finalmente, algunas acotaciones puntuales. Primero, que las cláusulas (1) y (1') no son equivalentes en el sistema standard de la lógica normativa, tal como parece postualr Nino, y que (1') se expresa en ese sistema mediante un bicondicional, esto es, (1) Op &lt;-&gt; V-p; además, que (1) expresa la conocida regla 'obligación implica permisión'. Segundo, que las cláusu1as (3) y (4) expresan relaciones de inconsistencia, (3) entre la obligación y la no-obligación y (4) entre la obligación y la prohibición. Por último, que la cláusula (5) abre la posibilidad de que una conducta no sea obligatoria ni esté prohibida, pero sin especificar su carácter normativo. La tendencia intuitiva sería la de calificar la conducta en cuestión como facultativa, pero ello exigiría una cláusula adicional de la forma: (7) Op v Vp V Fp, de modo a determinar que los operadores son conjuntamente exhaustivos.</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br/>
              <w:t>(5) Juicios normativos y constatativos. En la construcción de Nino, al igual que los juicios normativos, los constatativos son verdaderos o falsos, pero a diferencia de aquellos no lo son respecto de hechos normativos sino de hechos sociales, puramente empíricos. Según expuse, Nino hace dependcr su verdad o falsedad del acaecimiento efectivo del acto prescriptivo que constata y de sus condiciones de ejecución. Esto me parece básicamente correcto, aunque resta, sin embargo, al menos una cuestión controvertida respecto de este ítem.</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Sucede que Nino diluye la distinción descripción/presctipción no sólo al asignar a los juicios normativos valores de verdad, sino también al atribuir carácter regulativo a los juicios constatativos. Según Nino, 'es claro que una norma y en especial una norma jurfdica también puede identificarse con actos constatativos de prescripciones' (p. 14). Contra la opinión de Nino, pocas cosas me parecen menos claras que ésta: no se ve cómo y por qué un constatativo pueda ser razonablemente equiparado a una norma27. Desafortunadamente, esta cuestión resulta tan obvia para Nino que ninguna pista ofrece al respecto.</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Se ha detectado en la teoría de Dworkin un defecto similar respecto de sus conocidas proposiciones de derecho, las cuales presentan, a la vez, rasgos propios de las normas y las proposiciones, aun cuando tales propiedades parezcan incompatibles. El resultado de la evaluación ha sido que, al no considerar Dworkin conjuntamente exhaustivos y mutuamente excluyentcs al par de conceptos normas y proposiciones normativos (juicios constatativos en la terminología de Nino), suteoría aparenta ser invulnerable pero resulta, en realidad, indefendible28. Me temo que la concepción de Nino en manos de un crítico severo correría el mismo destino que la de Dworkin.</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br/>
              <w:t>1 El artículo aparecerá en el volumen Derecho, Ética y Lógica. Homenaje a Ernesto Gastón Valdes, editado en el Centro de Estudios Constitucionales (Madrid) bajo la responsabilidad de Bulygin, E. et al. Me atengo de la paginación de la versión remitida por Carlos Nino (indicada entre paréntesis en mi texto), dado que la obra se halla todavía en prensa.</w:t>
            </w:r>
            <w:r w:rsidRPr="00EB097F">
              <w:rPr>
                <w:rFonts w:ascii="Arial" w:eastAsia="Times New Roman" w:hAnsi="Arial" w:cs="Arial"/>
                <w:color w:val="003399"/>
                <w:sz w:val="17"/>
                <w:szCs w:val="17"/>
                <w:lang w:eastAsia="es-AR"/>
              </w:rPr>
              <w:br/>
              <w:t xml:space="preserve">2 Mis discrepancias con Nino eran considerables, al punto que poco tiempo atrás mi monografía Exploraciones Normativas, todavía en su versión de corrección (aparecerá editada por Fontamara, México 1994), mereció de su parte el siguiente peculiar comentario final: </w:t>
            </w:r>
            <w:r w:rsidRPr="00EB097F">
              <w:rPr>
                <w:rFonts w:ascii="Arial" w:eastAsia="Times New Roman" w:hAnsi="Arial" w:cs="Arial"/>
                <w:color w:val="003399"/>
                <w:sz w:val="17"/>
                <w:szCs w:val="17"/>
                <w:lang w:eastAsia="es-AR"/>
              </w:rPr>
              <w:br/>
              <w:t>3 Para abreviar, hablaré de 'prescripciones', 'juicios constatativos', 'juicios normativos' y 'juicios de adhesión'.</w:t>
            </w:r>
            <w:r w:rsidRPr="00EB097F">
              <w:rPr>
                <w:rFonts w:ascii="Arial" w:eastAsia="Times New Roman" w:hAnsi="Arial" w:cs="Arial"/>
                <w:color w:val="003399"/>
                <w:sz w:val="17"/>
                <w:szCs w:val="17"/>
                <w:lang w:eastAsia="es-AR"/>
              </w:rPr>
              <w:br/>
              <w:t>4 Ver Nino, C. 'El contructivismo ético', Centro de Estudios Constitucionales, Madrid. 1989, ps. 11-2.</w:t>
            </w:r>
            <w:r w:rsidRPr="00EB097F">
              <w:rPr>
                <w:rFonts w:ascii="Arial" w:eastAsia="Times New Roman" w:hAnsi="Arial" w:cs="Arial"/>
                <w:color w:val="003399"/>
                <w:sz w:val="17"/>
                <w:szCs w:val="17"/>
                <w:lang w:eastAsia="es-AR"/>
              </w:rPr>
              <w:br/>
              <w:t>5 Ibidem, p. 69.</w:t>
            </w:r>
            <w:r w:rsidRPr="00EB097F">
              <w:rPr>
                <w:rFonts w:ascii="Arial" w:eastAsia="Times New Roman" w:hAnsi="Arial" w:cs="Arial"/>
                <w:color w:val="003399"/>
                <w:sz w:val="17"/>
                <w:szCs w:val="17"/>
                <w:lang w:eastAsia="es-AR"/>
              </w:rPr>
              <w:br/>
              <w:t>6 Para un análisis cuidados de esta situación ver Hospers, J. 'La conducta humana, Tecnos Madrid, 1979 (original 1961), ps. 789-796. Sigo de cerca las observaciones del autor.</w:t>
            </w:r>
            <w:r w:rsidRPr="00EB097F">
              <w:rPr>
                <w:rFonts w:ascii="Arial" w:eastAsia="Times New Roman" w:hAnsi="Arial" w:cs="Arial"/>
                <w:color w:val="003399"/>
                <w:sz w:val="17"/>
                <w:szCs w:val="17"/>
                <w:lang w:eastAsia="es-AR"/>
              </w:rPr>
              <w:br/>
              <w:t>7 Nino, C. El constructivismo ético, citado ut supra, p. 69.</w:t>
            </w:r>
            <w:r w:rsidRPr="00EB097F">
              <w:rPr>
                <w:rFonts w:ascii="Arial" w:eastAsia="Times New Roman" w:hAnsi="Arial" w:cs="Arial"/>
                <w:color w:val="003399"/>
                <w:sz w:val="17"/>
                <w:szCs w:val="17"/>
                <w:lang w:eastAsia="es-AR"/>
              </w:rPr>
              <w:br/>
              <w:t>8 Hospers, J. Introducción al análisis filosófico, Alianza, Madrid, 1982 (original 1967), p. 693.</w:t>
            </w:r>
            <w:r w:rsidRPr="00EB097F">
              <w:rPr>
                <w:rFonts w:ascii="Arial" w:eastAsia="Times New Roman" w:hAnsi="Arial" w:cs="Arial"/>
                <w:color w:val="003399"/>
                <w:sz w:val="17"/>
                <w:szCs w:val="17"/>
                <w:lang w:eastAsia="es-AR"/>
              </w:rPr>
              <w:br/>
              <w:t>9 Al respecto ver Kalinowski, G. Lögica de las normas y lógica deóntica. Posbilidad y relaciones, Fontamara, México, 1993, ps. 19-22.</w:t>
            </w:r>
            <w:r w:rsidRPr="00EB097F">
              <w:rPr>
                <w:rFonts w:ascii="Arial" w:eastAsia="Times New Roman" w:hAnsi="Arial" w:cs="Arial"/>
                <w:color w:val="003399"/>
                <w:sz w:val="17"/>
                <w:szCs w:val="17"/>
                <w:lang w:eastAsia="es-AR"/>
              </w:rPr>
              <w:br/>
              <w:t>10 Ver Nino, C. El contructivismo ético, citado ut supra, ps. 61-71 y en particular p. 69.</w:t>
            </w:r>
            <w:r w:rsidRPr="00EB097F">
              <w:rPr>
                <w:rFonts w:ascii="Arial" w:eastAsia="Times New Roman" w:hAnsi="Arial" w:cs="Arial"/>
                <w:color w:val="003399"/>
                <w:sz w:val="17"/>
                <w:szCs w:val="17"/>
                <w:lang w:eastAsia="es-AR"/>
              </w:rPr>
              <w:br/>
              <w:t>11 Haack advierte sobre el notable desacuerdo existente acerca de qué tipo de cosas sean los mundos posibles. Ver al respecto su obra Filosofía de las lógicas, Cátedra, Madrid, 1982 (original 1978), ps. 216</w:t>
            </w:r>
            <w:r w:rsidRPr="00EB097F">
              <w:rPr>
                <w:rFonts w:ascii="Arial" w:eastAsia="Times New Roman" w:hAnsi="Arial" w:cs="Arial"/>
                <w:color w:val="003399"/>
                <w:sz w:val="17"/>
                <w:szCs w:val="17"/>
                <w:lang w:eastAsia="es-AR"/>
              </w:rPr>
              <w:br/>
              <w:t>12 Ver Alchourrón, C. Y Bulygin, E. 'Dewontic Truth and Values', en Kangas, U. Essays in Legal Theory of Kaarle Makkonen, oideustiede Jurisprudencia XVI, Helsinki, 1983.</w:t>
            </w:r>
            <w:r w:rsidRPr="00EB097F">
              <w:rPr>
                <w:rFonts w:ascii="Arial" w:eastAsia="Times New Roman" w:hAnsi="Arial" w:cs="Arial"/>
                <w:color w:val="003399"/>
                <w:sz w:val="17"/>
                <w:szCs w:val="17"/>
                <w:lang w:eastAsia="es-AR"/>
              </w:rPr>
              <w:br/>
              <w:t>13 Ver, sobre todo, Alchourrón, C. Y Bulygin, E. 'The Expressive Conception of Norms', en Hilpinen, R. New Studies in Deontic Logic, Reidel, Dordretch, 1981, ps. 95-124.</w:t>
            </w:r>
            <w:r w:rsidRPr="00EB097F">
              <w:rPr>
                <w:rFonts w:ascii="Arial" w:eastAsia="Times New Roman" w:hAnsi="Arial" w:cs="Arial"/>
                <w:color w:val="003399"/>
                <w:sz w:val="17"/>
                <w:szCs w:val="17"/>
                <w:lang w:eastAsia="es-AR"/>
              </w:rPr>
              <w:br/>
              <w:t>14 Alchourrón, C. y Bulygin, E. 'The Expressive Conception of Norms', citado ut supra, ps. 96-7</w:t>
            </w:r>
            <w:r w:rsidRPr="00EB097F">
              <w:rPr>
                <w:rFonts w:ascii="Arial" w:eastAsia="Times New Roman" w:hAnsi="Arial" w:cs="Arial"/>
                <w:color w:val="003399"/>
                <w:sz w:val="17"/>
                <w:szCs w:val="17"/>
                <w:lang w:eastAsia="es-AR"/>
              </w:rPr>
              <w:br/>
              <w:t>15 Ibidem, p. 100</w:t>
            </w:r>
            <w:r w:rsidRPr="00EB097F">
              <w:rPr>
                <w:rFonts w:ascii="Arial" w:eastAsia="Times New Roman" w:hAnsi="Arial" w:cs="Arial"/>
                <w:color w:val="003399"/>
                <w:sz w:val="17"/>
                <w:szCs w:val="17"/>
                <w:lang w:eastAsia="es-AR"/>
              </w:rPr>
              <w:br/>
              <w:t>16 Nino, C. Un país al margen d ela leyu, Emecé, Buenos Aires, 1992, ps. 47-8 y Fundamentos de Derecho Constitucional, Astrea, Buenos Aires, 1992, ps. 39-40</w:t>
            </w:r>
            <w:r w:rsidRPr="00EB097F">
              <w:rPr>
                <w:rFonts w:ascii="Arial" w:eastAsia="Times New Roman" w:hAnsi="Arial" w:cs="Arial"/>
                <w:color w:val="003399"/>
                <w:sz w:val="17"/>
                <w:szCs w:val="17"/>
                <w:lang w:eastAsia="es-AR"/>
              </w:rPr>
              <w:br/>
              <w:t>17 Para un análisis más cuidadoso de esta concepción y sus consecuencias teóricas, ver Mendonca, D. Introducción al análisis normativo, Centro de Estudios Constitucionales, Madrid, 1992, ps. 65-69</w:t>
            </w:r>
            <w:r w:rsidRPr="00EB097F">
              <w:rPr>
                <w:rFonts w:ascii="Arial" w:eastAsia="Times New Roman" w:hAnsi="Arial" w:cs="Arial"/>
                <w:color w:val="003399"/>
                <w:sz w:val="17"/>
                <w:szCs w:val="17"/>
                <w:lang w:eastAsia="es-AR"/>
              </w:rPr>
              <w:br/>
              <w:t>18 Es interesantes señalar qu eKelsen anticipó este punto de vista: 'Debe observarse -advertía Kelsen- que el acto de voluntad, cuyo sentido es una norma, necesita ser diferenciado del acto de habla en el cual se expresa el sentido del acto de voluntad. De las palabras pronunciadas resulta una frase: un imperativo o un enunciado de deber ser. La norma, que es el sentido de un acto de voluntad, es el significado del eneunciado que es el producto de un acto de habla en el cual se expresa el sentido de un acto de voluntad'. Ver Kelsen, H. General Theory of Norms, Clarendon, Oxford.</w:t>
            </w:r>
            <w:r w:rsidRPr="00EB097F">
              <w:rPr>
                <w:rFonts w:ascii="Arial" w:eastAsia="Times New Roman" w:hAnsi="Arial" w:cs="Arial"/>
                <w:color w:val="003399"/>
                <w:sz w:val="17"/>
                <w:szCs w:val="17"/>
                <w:lang w:eastAsia="es-AR"/>
              </w:rPr>
              <w:br/>
              <w:t>19 Para mayores detalles sobre la lógica normativa, ver mi Introducción al análisis normativo, citado ut supra, capítulo 3</w:t>
            </w:r>
            <w:r w:rsidRPr="00EB097F">
              <w:rPr>
                <w:rFonts w:ascii="Arial" w:eastAsia="Times New Roman" w:hAnsi="Arial" w:cs="Arial"/>
                <w:color w:val="003399"/>
                <w:sz w:val="17"/>
                <w:szCs w:val="17"/>
                <w:lang w:eastAsia="es-AR"/>
              </w:rPr>
              <w:br/>
              <w:t>20 Von Wright, G.H. Norma y acción. Una investigación lógica, Tectos, Madrid, 1979 (original 1963).</w:t>
            </w:r>
            <w:r w:rsidRPr="00EB097F">
              <w:rPr>
                <w:rFonts w:ascii="Arial" w:eastAsia="Times New Roman" w:hAnsi="Arial" w:cs="Arial"/>
                <w:color w:val="003399"/>
                <w:sz w:val="17"/>
                <w:szCs w:val="17"/>
                <w:lang w:eastAsia="es-AR"/>
              </w:rPr>
              <w:br/>
              <w:t>21 Ibídem p. 155</w:t>
            </w:r>
            <w:r w:rsidRPr="00EB097F">
              <w:rPr>
                <w:rFonts w:ascii="Arial" w:eastAsia="Times New Roman" w:hAnsi="Arial" w:cs="Arial"/>
                <w:color w:val="003399"/>
                <w:sz w:val="17"/>
                <w:szCs w:val="17"/>
                <w:lang w:eastAsia="es-AR"/>
              </w:rPr>
              <w:br/>
              <w:t>22 Ibídem p. 155</w:t>
            </w:r>
            <w:r w:rsidRPr="00EB097F">
              <w:rPr>
                <w:rFonts w:ascii="Arial" w:eastAsia="Times New Roman" w:hAnsi="Arial" w:cs="Arial"/>
                <w:color w:val="003399"/>
                <w:sz w:val="17"/>
                <w:szCs w:val="17"/>
                <w:lang w:eastAsia="es-AR"/>
              </w:rPr>
              <w:br/>
              <w:t>23 Ibídem p. 156</w:t>
            </w:r>
            <w:r w:rsidRPr="00EB097F">
              <w:rPr>
                <w:rFonts w:ascii="Arial" w:eastAsia="Times New Roman" w:hAnsi="Arial" w:cs="Arial"/>
                <w:color w:val="003399"/>
                <w:sz w:val="17"/>
                <w:szCs w:val="17"/>
                <w:lang w:eastAsia="es-AR"/>
              </w:rPr>
              <w:br/>
            </w:r>
            <w:r w:rsidRPr="00EB097F">
              <w:rPr>
                <w:rFonts w:ascii="Arial" w:eastAsia="Times New Roman" w:hAnsi="Arial" w:cs="Arial"/>
                <w:color w:val="003399"/>
                <w:sz w:val="17"/>
                <w:szCs w:val="17"/>
                <w:lang w:eastAsia="es-AR"/>
              </w:rPr>
              <w:lastRenderedPageBreak/>
              <w:t>24 En este sentido, ver Alchourrón, C. y Bulygin, E. 'The Expressive Conception of Norms', citado ut supra, ps. 95-6</w:t>
            </w:r>
            <w:r w:rsidRPr="00EB097F">
              <w:rPr>
                <w:rFonts w:ascii="Arial" w:eastAsia="Times New Roman" w:hAnsi="Arial" w:cs="Arial"/>
                <w:color w:val="003399"/>
                <w:sz w:val="17"/>
                <w:szCs w:val="17"/>
                <w:lang w:eastAsia="es-AR"/>
              </w:rPr>
              <w:br/>
              <w:t>25 Sobre el tema, ver especialmente von Wright, G.H. 'Normas de orden superior', en Bulygin, E. et al. El lenguaje del Derecho, Homenaje a Genaro Carrió, Abeledo-Perrot, Buenos Aires, 1983, ps. 457-470</w:t>
            </w:r>
            <w:r w:rsidRPr="00EB097F">
              <w:rPr>
                <w:rFonts w:ascii="Arial" w:eastAsia="Times New Roman" w:hAnsi="Arial" w:cs="Arial"/>
                <w:color w:val="003399"/>
                <w:sz w:val="17"/>
                <w:szCs w:val="17"/>
                <w:lang w:eastAsia="es-AR"/>
              </w:rPr>
              <w:br/>
              <w:t>26 Sobre la reiteración de operadores deónticos, ver Alchourrón, C. y Bulygin, E. 'Von Wright on Deontic Logic and the Philosophy of Law', en Schilpp, P. Y Hahn, L. The Philosophy of George Henrik von Wright, La Salle, Illinois, 1989.</w:t>
            </w:r>
            <w:r w:rsidRPr="00EB097F">
              <w:rPr>
                <w:rFonts w:ascii="Arial" w:eastAsia="Times New Roman" w:hAnsi="Arial" w:cs="Arial"/>
                <w:color w:val="003399"/>
                <w:sz w:val="17"/>
                <w:szCs w:val="17"/>
                <w:lang w:eastAsia="es-AR"/>
              </w:rPr>
              <w:br/>
              <w:t>27 Sobre las diferencias entre normas y proposiciones normativas, puede verse mi ensayo 'Cómo derivar aparentemente 'debe' de 'es'', en Análisis filosófico, vol. XIII, nº 2, 1993.</w:t>
            </w:r>
            <w:r w:rsidRPr="00EB097F">
              <w:rPr>
                <w:rFonts w:ascii="Arial" w:eastAsia="Times New Roman" w:hAnsi="Arial" w:cs="Arial"/>
                <w:color w:val="003399"/>
                <w:sz w:val="17"/>
                <w:szCs w:val="17"/>
                <w:lang w:eastAsia="es-AR"/>
              </w:rPr>
              <w:br/>
              <w:t xml:space="preserve">28 La crítica a la que hago referencia proviene de Bulygin. Ver al respecto, Bulygin, E. 'Norms, Normative Proposition and Legal Statements', citado ut supra. </w:t>
            </w:r>
          </w:p>
        </w:tc>
      </w:tr>
    </w:tbl>
    <w:p w:rsidR="00EB097F" w:rsidRPr="00EB097F" w:rsidRDefault="00EB097F" w:rsidP="00EB097F">
      <w:pPr>
        <w:spacing w:before="100" w:beforeAutospacing="1" w:after="100" w:afterAutospacing="1" w:line="240" w:lineRule="auto"/>
        <w:rPr>
          <w:rFonts w:ascii="Arial" w:eastAsia="Times New Roman" w:hAnsi="Arial" w:cs="Arial"/>
          <w:color w:val="003399"/>
          <w:sz w:val="17"/>
          <w:szCs w:val="17"/>
          <w:lang w:eastAsia="es-AR"/>
        </w:rPr>
      </w:pPr>
      <w:r w:rsidRPr="00EB097F">
        <w:rPr>
          <w:rFonts w:ascii="Arial" w:eastAsia="Times New Roman" w:hAnsi="Arial" w:cs="Arial"/>
          <w:color w:val="003399"/>
          <w:sz w:val="17"/>
          <w:szCs w:val="17"/>
          <w:lang w:eastAsia="es-AR"/>
        </w:rPr>
        <w:lastRenderedPageBreak/>
        <w:t> </w:t>
      </w:r>
    </w:p>
    <w:p w:rsidR="001F2B2D" w:rsidRDefault="00EB097F">
      <w:bookmarkStart w:id="22" w:name="_GoBack"/>
      <w:bookmarkEnd w:id="22"/>
    </w:p>
    <w:sectPr w:rsidR="001F2B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7F"/>
    <w:rsid w:val="00437F78"/>
    <w:rsid w:val="0088237C"/>
    <w:rsid w:val="00943A3D"/>
    <w:rsid w:val="00EB09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AutoPlay\Docs\1994_1.html" TargetMode="External"/><Relationship Id="rId13" Type="http://schemas.openxmlformats.org/officeDocument/2006/relationships/hyperlink" Target="file:///D:\AutoPlay\Docs\1994_1.html" TargetMode="External"/><Relationship Id="rId18" Type="http://schemas.openxmlformats.org/officeDocument/2006/relationships/hyperlink" Target="file:///D:\AutoPlay\Docs\1994_1.html" TargetMode="External"/><Relationship Id="rId26" Type="http://schemas.openxmlformats.org/officeDocument/2006/relationships/hyperlink" Target="file:///D:\AutoPlay\Docs\1994_1.html" TargetMode="External"/><Relationship Id="rId39" Type="http://schemas.openxmlformats.org/officeDocument/2006/relationships/hyperlink" Target="file:///D:\AutoPlay\Docs\1994_1.html" TargetMode="External"/><Relationship Id="rId3" Type="http://schemas.openxmlformats.org/officeDocument/2006/relationships/settings" Target="settings.xml"/><Relationship Id="rId21" Type="http://schemas.openxmlformats.org/officeDocument/2006/relationships/hyperlink" Target="file:///D:\AutoPlay\Docs\1994_1.html" TargetMode="External"/><Relationship Id="rId34" Type="http://schemas.openxmlformats.org/officeDocument/2006/relationships/hyperlink" Target="file:///D:\AutoPlay\Docs\1994_1.html" TargetMode="External"/><Relationship Id="rId42" Type="http://schemas.openxmlformats.org/officeDocument/2006/relationships/hyperlink" Target="file:///D:\AutoPlay\Docs\1994_1.html" TargetMode="External"/><Relationship Id="rId47" Type="http://schemas.openxmlformats.org/officeDocument/2006/relationships/fontTable" Target="fontTable.xml"/><Relationship Id="rId7" Type="http://schemas.openxmlformats.org/officeDocument/2006/relationships/hyperlink" Target="file:///D:\AutoPlay\Docs\1994_1.html" TargetMode="External"/><Relationship Id="rId12" Type="http://schemas.openxmlformats.org/officeDocument/2006/relationships/hyperlink" Target="file:///D:\AutoPlay\Docs\1994_1.html" TargetMode="External"/><Relationship Id="rId17" Type="http://schemas.openxmlformats.org/officeDocument/2006/relationships/hyperlink" Target="file:///D:\AutoPlay\Docs\1994_1.html" TargetMode="External"/><Relationship Id="rId25" Type="http://schemas.openxmlformats.org/officeDocument/2006/relationships/hyperlink" Target="file:///D:\AutoPlay\Docs\1994_1.html" TargetMode="External"/><Relationship Id="rId33" Type="http://schemas.openxmlformats.org/officeDocument/2006/relationships/hyperlink" Target="file:///D:\AutoPlay\Docs\1994_1.html" TargetMode="External"/><Relationship Id="rId38" Type="http://schemas.openxmlformats.org/officeDocument/2006/relationships/hyperlink" Target="file:///D:\AutoPlay\Docs\1994_1.html" TargetMode="External"/><Relationship Id="rId46" Type="http://schemas.openxmlformats.org/officeDocument/2006/relationships/hyperlink" Target="file:///D:\AutoPlay\Docs\1994_1.html" TargetMode="External"/><Relationship Id="rId2" Type="http://schemas.microsoft.com/office/2007/relationships/stylesWithEffects" Target="stylesWithEffects.xml"/><Relationship Id="rId16" Type="http://schemas.openxmlformats.org/officeDocument/2006/relationships/hyperlink" Target="file:///D:\AutoPlay\Docs\1994_1.html" TargetMode="External"/><Relationship Id="rId20" Type="http://schemas.openxmlformats.org/officeDocument/2006/relationships/hyperlink" Target="file:///D:\AutoPlay\Docs\1994_1.html" TargetMode="External"/><Relationship Id="rId29" Type="http://schemas.openxmlformats.org/officeDocument/2006/relationships/hyperlink" Target="file:///D:\AutoPlay\Docs\1994_1.html" TargetMode="External"/><Relationship Id="rId41" Type="http://schemas.openxmlformats.org/officeDocument/2006/relationships/hyperlink" Target="file:///D:\AutoPlay\Docs\1994_1.html" TargetMode="External"/><Relationship Id="rId1" Type="http://schemas.openxmlformats.org/officeDocument/2006/relationships/styles" Target="styles.xml"/><Relationship Id="rId6" Type="http://schemas.openxmlformats.org/officeDocument/2006/relationships/hyperlink" Target="file:///D:\AutoPlay\Docs\1994_1.html" TargetMode="External"/><Relationship Id="rId11" Type="http://schemas.openxmlformats.org/officeDocument/2006/relationships/hyperlink" Target="file:///D:\AutoPlay\Docs\1994_1.html" TargetMode="External"/><Relationship Id="rId24" Type="http://schemas.openxmlformats.org/officeDocument/2006/relationships/hyperlink" Target="file:///D:\AutoPlay\Docs\1994_1.html" TargetMode="External"/><Relationship Id="rId32" Type="http://schemas.openxmlformats.org/officeDocument/2006/relationships/hyperlink" Target="file:///D:\AutoPlay\Docs\1994_1.html" TargetMode="External"/><Relationship Id="rId37" Type="http://schemas.openxmlformats.org/officeDocument/2006/relationships/hyperlink" Target="file:///D:\AutoPlay\Docs\1994_1.html" TargetMode="External"/><Relationship Id="rId40" Type="http://schemas.openxmlformats.org/officeDocument/2006/relationships/hyperlink" Target="file:///D:\AutoPlay\Docs\1994_1.html" TargetMode="External"/><Relationship Id="rId45" Type="http://schemas.openxmlformats.org/officeDocument/2006/relationships/hyperlink" Target="file:///D:\AutoPlay\Docs\1994_1.html" TargetMode="External"/><Relationship Id="rId5" Type="http://schemas.openxmlformats.org/officeDocument/2006/relationships/hyperlink" Target="file:///D:\AutoPlay\Docs\1994_1.html" TargetMode="External"/><Relationship Id="rId15" Type="http://schemas.openxmlformats.org/officeDocument/2006/relationships/hyperlink" Target="file:///D:\AutoPlay\Docs\1994_1.html" TargetMode="External"/><Relationship Id="rId23" Type="http://schemas.openxmlformats.org/officeDocument/2006/relationships/hyperlink" Target="file:///D:\AutoPlay\Docs\1994_1.html" TargetMode="External"/><Relationship Id="rId28" Type="http://schemas.openxmlformats.org/officeDocument/2006/relationships/hyperlink" Target="file:///D:\AutoPlay\Docs\1994_1.html" TargetMode="External"/><Relationship Id="rId36" Type="http://schemas.openxmlformats.org/officeDocument/2006/relationships/hyperlink" Target="file:///D:\AutoPlay\Docs\1994_1.html" TargetMode="External"/><Relationship Id="rId10" Type="http://schemas.openxmlformats.org/officeDocument/2006/relationships/hyperlink" Target="file:///D:\AutoPlay\Docs\1994_1.html" TargetMode="External"/><Relationship Id="rId19" Type="http://schemas.openxmlformats.org/officeDocument/2006/relationships/hyperlink" Target="file:///D:\AutoPlay\Docs\1994_1.html" TargetMode="External"/><Relationship Id="rId31" Type="http://schemas.openxmlformats.org/officeDocument/2006/relationships/hyperlink" Target="file:///D:\AutoPlay\Docs\1994_1.html" TargetMode="External"/><Relationship Id="rId44" Type="http://schemas.openxmlformats.org/officeDocument/2006/relationships/hyperlink" Target="file:///D:\AutoPlay\Docs\1994_1.html" TargetMode="External"/><Relationship Id="rId4" Type="http://schemas.openxmlformats.org/officeDocument/2006/relationships/webSettings" Target="webSettings.xml"/><Relationship Id="rId9" Type="http://schemas.openxmlformats.org/officeDocument/2006/relationships/hyperlink" Target="file:///D:\AutoPlay\Docs\1994_1.html" TargetMode="External"/><Relationship Id="rId14" Type="http://schemas.openxmlformats.org/officeDocument/2006/relationships/hyperlink" Target="file:///D:\AutoPlay\Docs\1994_1.html" TargetMode="External"/><Relationship Id="rId22" Type="http://schemas.openxmlformats.org/officeDocument/2006/relationships/hyperlink" Target="file:///D:\AutoPlay\Docs\1994_1.html" TargetMode="External"/><Relationship Id="rId27" Type="http://schemas.openxmlformats.org/officeDocument/2006/relationships/hyperlink" Target="file:///D:\AutoPlay\Docs\1994_1.html" TargetMode="External"/><Relationship Id="rId30" Type="http://schemas.openxmlformats.org/officeDocument/2006/relationships/hyperlink" Target="file:///D:\AutoPlay\Docs\1994_1.html" TargetMode="External"/><Relationship Id="rId35" Type="http://schemas.openxmlformats.org/officeDocument/2006/relationships/hyperlink" Target="file:///D:\AutoPlay\Docs\1994_1.html" TargetMode="External"/><Relationship Id="rId43" Type="http://schemas.openxmlformats.org/officeDocument/2006/relationships/hyperlink" Target="file:///D:\AutoPlay\Docs\1994_1.html" TargetMode="External"/><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77420</Words>
  <Characters>425815</Characters>
  <Application>Microsoft Office Word</Application>
  <DocSecurity>0</DocSecurity>
  <Lines>3548</Lines>
  <Paragraphs>1004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edicion9</dc:creator>
  <cp:lastModifiedBy>edicion9</cp:lastModifiedBy>
  <cp:revision>1</cp:revision>
  <dcterms:created xsi:type="dcterms:W3CDTF">2016-02-23T12:51:00Z</dcterms:created>
  <dcterms:modified xsi:type="dcterms:W3CDTF">2016-02-23T12:52:00Z</dcterms:modified>
</cp:coreProperties>
</file>